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6DC03F" w14:textId="546C9458" w:rsidR="00252F98" w:rsidRDefault="00FF2A28" w:rsidP="00510C45">
      <w:pPr>
        <w:shd w:val="clear" w:color="auto" w:fill="FFFFFF"/>
        <w:spacing w:after="0"/>
        <w:ind w:right="527"/>
        <w:jc w:val="center"/>
        <w:textAlignment w:val="baseline"/>
        <w:outlineLvl w:val="0"/>
        <w:rPr>
          <w:rFonts w:eastAsia="Malgun Gothic Semilight" w:cs="Malgun Gothic Semilight"/>
          <w:b/>
          <w:bCs/>
          <w:smallCaps/>
          <w:kern w:val="36"/>
          <w:sz w:val="20"/>
          <w:szCs w:val="20"/>
        </w:rPr>
      </w:pPr>
      <w:bookmarkStart w:id="0" w:name="_GoBack"/>
      <w:bookmarkEnd w:id="0"/>
      <w:r>
        <w:rPr>
          <w:rFonts w:eastAsia="Malgun Gothic Semilight" w:cs="Malgun Gothic Semilight"/>
          <w:b/>
          <w:bCs/>
          <w:smallCaps/>
          <w:kern w:val="36"/>
          <w:sz w:val="20"/>
          <w:szCs w:val="20"/>
        </w:rPr>
        <w:t>SENTENCIA DEL SUPREMO</w:t>
      </w:r>
    </w:p>
    <w:p w14:paraId="49B003AA" w14:textId="77777777" w:rsidR="0055708C" w:rsidRPr="00237D56" w:rsidRDefault="0055708C" w:rsidP="00510C45">
      <w:pPr>
        <w:shd w:val="clear" w:color="auto" w:fill="FFFFFF"/>
        <w:spacing w:after="0"/>
        <w:ind w:right="527"/>
        <w:jc w:val="center"/>
        <w:textAlignment w:val="baseline"/>
        <w:outlineLvl w:val="0"/>
        <w:rPr>
          <w:rFonts w:eastAsia="Malgun Gothic Semilight" w:cs="Malgun Gothic Semilight"/>
          <w:b/>
          <w:bCs/>
          <w:smallCaps/>
          <w:color w:val="B63494"/>
          <w:kern w:val="36"/>
          <w:sz w:val="20"/>
          <w:szCs w:val="20"/>
        </w:rPr>
      </w:pPr>
    </w:p>
    <w:p w14:paraId="1AC57076" w14:textId="1E8CD188" w:rsidR="00DA0C4E" w:rsidRPr="00DA0C4E" w:rsidRDefault="0028201F" w:rsidP="00DA0C4E">
      <w:pPr>
        <w:tabs>
          <w:tab w:val="left" w:pos="8647"/>
        </w:tabs>
        <w:ind w:right="-8"/>
        <w:jc w:val="center"/>
        <w:rPr>
          <w:rFonts w:eastAsia="Malgun Gothic Semilight" w:cs="Malgun Gothic Semilight"/>
          <w:b/>
          <w:color w:val="CC006A"/>
          <w:kern w:val="36"/>
          <w:sz w:val="32"/>
          <w:szCs w:val="32"/>
          <w:lang w:val="es-ES_tradnl"/>
        </w:rPr>
      </w:pPr>
      <w:r>
        <w:rPr>
          <w:rFonts w:eastAsia="Malgun Gothic Semilight" w:cs="Malgun Gothic Semilight"/>
          <w:b/>
          <w:color w:val="CC006A"/>
          <w:kern w:val="36"/>
          <w:sz w:val="32"/>
          <w:szCs w:val="32"/>
          <w:lang w:val="es-ES_tradnl"/>
        </w:rPr>
        <w:t xml:space="preserve">El Supremo </w:t>
      </w:r>
      <w:r w:rsidR="00FF2A28">
        <w:rPr>
          <w:rFonts w:eastAsia="Malgun Gothic Semilight" w:cs="Malgun Gothic Semilight"/>
          <w:b/>
          <w:color w:val="CC006A"/>
          <w:kern w:val="36"/>
          <w:sz w:val="32"/>
          <w:szCs w:val="32"/>
          <w:lang w:val="es-ES_tradnl"/>
        </w:rPr>
        <w:t>no zanja el IRPH,</w:t>
      </w:r>
      <w:r w:rsidR="005106E5">
        <w:rPr>
          <w:rFonts w:eastAsia="Malgun Gothic Semilight" w:cs="Malgun Gothic Semilight"/>
          <w:b/>
          <w:color w:val="CC006A"/>
          <w:kern w:val="36"/>
          <w:sz w:val="32"/>
          <w:szCs w:val="32"/>
          <w:lang w:val="es-ES_tradnl"/>
        </w:rPr>
        <w:t xml:space="preserve"> </w:t>
      </w:r>
      <w:r>
        <w:rPr>
          <w:rFonts w:eastAsia="Malgun Gothic Semilight" w:cs="Malgun Gothic Semilight"/>
          <w:b/>
          <w:color w:val="CC006A"/>
          <w:kern w:val="36"/>
          <w:sz w:val="32"/>
          <w:szCs w:val="32"/>
          <w:lang w:val="es-ES_tradnl"/>
        </w:rPr>
        <w:t xml:space="preserve">deja abierto el caso por caso </w:t>
      </w:r>
      <w:r w:rsidR="005106E5">
        <w:rPr>
          <w:rFonts w:eastAsia="Malgun Gothic Semilight" w:cs="Malgun Gothic Semilight"/>
          <w:b/>
          <w:color w:val="CC006A"/>
          <w:kern w:val="36"/>
          <w:sz w:val="32"/>
          <w:szCs w:val="32"/>
          <w:lang w:val="es-ES_tradnl"/>
        </w:rPr>
        <w:t>y la vía europea para seguir litigando</w:t>
      </w:r>
    </w:p>
    <w:p w14:paraId="00CFFD3F" w14:textId="20A2A5F5" w:rsidR="00510C45" w:rsidRPr="00510C45" w:rsidRDefault="00510C45" w:rsidP="00510C45">
      <w:pPr>
        <w:tabs>
          <w:tab w:val="left" w:pos="8647"/>
        </w:tabs>
        <w:ind w:right="-8"/>
        <w:jc w:val="center"/>
        <w:rPr>
          <w:rFonts w:eastAsia="Malgun Gothic Semilight" w:cs="Malgun Gothic Semilight"/>
          <w:b/>
          <w:color w:val="CC006A"/>
          <w:kern w:val="36"/>
          <w:sz w:val="32"/>
          <w:szCs w:val="32"/>
        </w:rPr>
      </w:pPr>
      <w:r w:rsidRPr="00510C45">
        <w:rPr>
          <w:rFonts w:eastAsia="Malgun Gothic Semilight" w:cs="Malgun Gothic Semilight"/>
          <w:b/>
          <w:color w:val="CC006A"/>
          <w:kern w:val="36"/>
          <w:sz w:val="32"/>
          <w:szCs w:val="32"/>
        </w:rPr>
        <w:t xml:space="preserve"> </w:t>
      </w:r>
    </w:p>
    <w:p w14:paraId="429D1DC9" w14:textId="19FEBF9F" w:rsidR="00152D92" w:rsidRDefault="00152D92" w:rsidP="00DA0C4E">
      <w:pPr>
        <w:pStyle w:val="Prrafodelista"/>
        <w:numPr>
          <w:ilvl w:val="0"/>
          <w:numId w:val="7"/>
        </w:numPr>
        <w:ind w:left="284" w:hanging="284"/>
        <w:rPr>
          <w:rFonts w:eastAsia="Malgun Gothic Semilight" w:cstheme="minorHAnsi"/>
          <w:b/>
          <w:color w:val="4A442A" w:themeColor="background2" w:themeShade="40"/>
          <w:lang w:val="es-ES_tradnl"/>
        </w:rPr>
      </w:pPr>
      <w:r>
        <w:rPr>
          <w:rFonts w:eastAsia="Malgun Gothic Semilight" w:cstheme="minorHAnsi"/>
          <w:b/>
          <w:color w:val="4A442A" w:themeColor="background2" w:themeShade="40"/>
          <w:lang w:val="es-ES_tradnl"/>
        </w:rPr>
        <w:t>El Tribunal vuelve a fallar salomónicamente y</w:t>
      </w:r>
      <w:r w:rsidR="00FF2A28">
        <w:rPr>
          <w:rFonts w:eastAsia="Malgun Gothic Semilight" w:cstheme="minorHAnsi"/>
          <w:b/>
          <w:color w:val="4A442A" w:themeColor="background2" w:themeShade="40"/>
          <w:lang w:val="es-ES_tradnl"/>
        </w:rPr>
        <w:t xml:space="preserve"> declara falta de transparencia pero no abusividad en cuatro casos concretos</w:t>
      </w:r>
      <w:r>
        <w:rPr>
          <w:rFonts w:eastAsia="Malgun Gothic Semilight" w:cstheme="minorHAnsi"/>
          <w:b/>
          <w:color w:val="4A442A" w:themeColor="background2" w:themeShade="40"/>
          <w:lang w:val="es-ES_tradnl"/>
        </w:rPr>
        <w:t>.</w:t>
      </w:r>
    </w:p>
    <w:p w14:paraId="5E7718C9" w14:textId="77777777" w:rsidR="00152D92" w:rsidRDefault="00152D92" w:rsidP="00152D92">
      <w:pPr>
        <w:pStyle w:val="Prrafodelista"/>
        <w:ind w:left="284"/>
        <w:rPr>
          <w:rFonts w:eastAsia="Malgun Gothic Semilight" w:cstheme="minorHAnsi"/>
          <w:b/>
          <w:color w:val="4A442A" w:themeColor="background2" w:themeShade="40"/>
          <w:lang w:val="es-ES_tradnl"/>
        </w:rPr>
      </w:pPr>
    </w:p>
    <w:p w14:paraId="3430BB66" w14:textId="081B75F7" w:rsidR="00DA0C4E" w:rsidRPr="00DA0C4E" w:rsidRDefault="00152D92" w:rsidP="00DA0C4E">
      <w:pPr>
        <w:pStyle w:val="Prrafodelista"/>
        <w:numPr>
          <w:ilvl w:val="0"/>
          <w:numId w:val="7"/>
        </w:numPr>
        <w:ind w:left="284" w:hanging="284"/>
        <w:rPr>
          <w:rFonts w:eastAsia="Malgun Gothic Semilight" w:cstheme="minorHAnsi"/>
          <w:b/>
          <w:color w:val="4A442A" w:themeColor="background2" w:themeShade="40"/>
          <w:lang w:val="es-ES_tradnl"/>
        </w:rPr>
      </w:pPr>
      <w:r>
        <w:rPr>
          <w:rFonts w:eastAsia="Malgun Gothic Semilight" w:cstheme="minorHAnsi"/>
          <w:b/>
          <w:color w:val="4A442A" w:themeColor="background2" w:themeShade="40"/>
          <w:lang w:val="es-ES_tradnl"/>
        </w:rPr>
        <w:t xml:space="preserve">El Supremo se mantiene en su tesis </w:t>
      </w:r>
      <w:proofErr w:type="spellStart"/>
      <w:r>
        <w:rPr>
          <w:rFonts w:eastAsia="Malgun Gothic Semilight" w:cstheme="minorHAnsi"/>
          <w:b/>
          <w:color w:val="4A442A" w:themeColor="background2" w:themeShade="40"/>
          <w:lang w:val="es-ES_tradnl"/>
        </w:rPr>
        <w:t>negacionista</w:t>
      </w:r>
      <w:proofErr w:type="spellEnd"/>
      <w:r>
        <w:rPr>
          <w:rFonts w:eastAsia="Malgun Gothic Semilight" w:cstheme="minorHAnsi"/>
          <w:b/>
          <w:color w:val="4A442A" w:themeColor="background2" w:themeShade="40"/>
          <w:lang w:val="es-ES_tradnl"/>
        </w:rPr>
        <w:t xml:space="preserve"> y contradice nuevamente al</w:t>
      </w:r>
      <w:r w:rsidR="00FF2A28">
        <w:rPr>
          <w:rFonts w:eastAsia="Malgun Gothic Semilight" w:cstheme="minorHAnsi"/>
          <w:b/>
          <w:color w:val="4A442A" w:themeColor="background2" w:themeShade="40"/>
          <w:lang w:val="es-ES_tradnl"/>
        </w:rPr>
        <w:t xml:space="preserve"> TJUE que estableció que sólo si la cláusula supera el control de transparencia se puede entrar a valorar su abusividad  </w:t>
      </w:r>
      <w:r w:rsidR="00A739E4">
        <w:rPr>
          <w:rFonts w:eastAsia="Malgun Gothic Semilight" w:cstheme="minorHAnsi"/>
          <w:b/>
          <w:color w:val="4A442A" w:themeColor="background2" w:themeShade="40"/>
          <w:lang w:val="es-ES_tradnl"/>
        </w:rPr>
        <w:t xml:space="preserve"> </w:t>
      </w:r>
      <w:r w:rsidR="006942DE">
        <w:rPr>
          <w:rFonts w:eastAsia="Malgun Gothic Semilight" w:cstheme="minorHAnsi"/>
          <w:b/>
          <w:color w:val="4A442A" w:themeColor="background2" w:themeShade="40"/>
          <w:lang w:val="es-ES_tradnl"/>
        </w:rPr>
        <w:t xml:space="preserve"> </w:t>
      </w:r>
    </w:p>
    <w:p w14:paraId="45099ABD" w14:textId="77777777" w:rsidR="00252F98" w:rsidRDefault="00252F98" w:rsidP="00252F98">
      <w:pPr>
        <w:pStyle w:val="Prrafodelista"/>
        <w:spacing w:after="0" w:line="240" w:lineRule="auto"/>
        <w:ind w:left="284"/>
        <w:rPr>
          <w:rFonts w:eastAsia="Malgun Gothic Semilight" w:cstheme="minorHAnsi"/>
          <w:b/>
          <w:color w:val="4A442A" w:themeColor="background2" w:themeShade="40"/>
        </w:rPr>
      </w:pPr>
    </w:p>
    <w:p w14:paraId="2CE8593D" w14:textId="6D59B23D" w:rsidR="00510C45" w:rsidRPr="00510C45" w:rsidRDefault="005106E5" w:rsidP="00510C45">
      <w:pPr>
        <w:pStyle w:val="Prrafodelista"/>
        <w:numPr>
          <w:ilvl w:val="0"/>
          <w:numId w:val="7"/>
        </w:numPr>
        <w:spacing w:after="0" w:line="240" w:lineRule="auto"/>
        <w:ind w:left="284" w:hanging="284"/>
        <w:rPr>
          <w:rFonts w:eastAsia="Malgun Gothic Semilight" w:cstheme="minorHAnsi"/>
          <w:b/>
          <w:color w:val="4A442A" w:themeColor="background2" w:themeShade="40"/>
        </w:rPr>
      </w:pPr>
      <w:r>
        <w:rPr>
          <w:rFonts w:eastAsia="Malgun Gothic Semilight" w:cstheme="minorHAnsi"/>
          <w:b/>
          <w:color w:val="4A442A" w:themeColor="background2" w:themeShade="40"/>
          <w:lang w:val="es-ES_tradnl"/>
        </w:rPr>
        <w:t>“</w:t>
      </w:r>
      <w:r w:rsidR="0028201F">
        <w:rPr>
          <w:rFonts w:eastAsia="Malgun Gothic Semilight" w:cstheme="minorHAnsi"/>
          <w:b/>
          <w:color w:val="4A442A" w:themeColor="background2" w:themeShade="40"/>
          <w:lang w:val="es-ES_tradnl"/>
        </w:rPr>
        <w:t xml:space="preserve">Es un índice a todas luces </w:t>
      </w:r>
      <w:r w:rsidR="00FF2A28">
        <w:rPr>
          <w:rFonts w:eastAsia="Malgun Gothic Semilight" w:cstheme="minorHAnsi"/>
          <w:b/>
          <w:color w:val="4A442A" w:themeColor="background2" w:themeShade="40"/>
          <w:lang w:val="es-ES_tradnl"/>
        </w:rPr>
        <w:t xml:space="preserve">manipulable </w:t>
      </w:r>
      <w:r w:rsidR="009D2E57">
        <w:rPr>
          <w:rFonts w:eastAsia="Malgun Gothic Semilight" w:cstheme="minorHAnsi"/>
          <w:b/>
          <w:color w:val="4A442A" w:themeColor="background2" w:themeShade="40"/>
          <w:lang w:val="es-ES_tradnl"/>
        </w:rPr>
        <w:t>y que seguiremos litigando en los tribunales nacionales y en Europa que tiene que resolver una cuestión prejudicial</w:t>
      </w:r>
      <w:r w:rsidR="00152D92">
        <w:rPr>
          <w:rFonts w:eastAsia="Malgun Gothic Semilight" w:cstheme="minorHAnsi"/>
          <w:b/>
          <w:color w:val="4A442A" w:themeColor="background2" w:themeShade="40"/>
          <w:lang w:val="es-ES_tradnl"/>
        </w:rPr>
        <w:t>. No descartamos nuevas acciones ante el TJUE para defender los intereses de los afectados” señala Patricia Suárez.</w:t>
      </w:r>
      <w:r w:rsidR="009D2E57">
        <w:rPr>
          <w:rFonts w:eastAsia="Malgun Gothic Semilight" w:cstheme="minorHAnsi"/>
          <w:b/>
          <w:color w:val="4A442A" w:themeColor="background2" w:themeShade="40"/>
          <w:lang w:val="es-ES_tradnl"/>
        </w:rPr>
        <w:t xml:space="preserve"> </w:t>
      </w:r>
    </w:p>
    <w:p w14:paraId="68B44D61" w14:textId="77777777" w:rsidR="00510C45" w:rsidRPr="00FF65AE" w:rsidRDefault="00510C45" w:rsidP="00510C45">
      <w:pPr>
        <w:rPr>
          <w:rFonts w:eastAsia="Malgun Gothic Semilight" w:cstheme="minorHAnsi"/>
          <w:b/>
          <w:color w:val="4A442A" w:themeColor="background2" w:themeShade="40"/>
        </w:rPr>
      </w:pPr>
    </w:p>
    <w:p w14:paraId="5FCCECC8" w14:textId="7A345D06" w:rsidR="009D2E57" w:rsidRDefault="005106E5" w:rsidP="00B74F07">
      <w:pPr>
        <w:rPr>
          <w:rFonts w:asciiTheme="majorHAnsi" w:eastAsia="Malgun Gothic Semilight" w:hAnsiTheme="majorHAnsi"/>
          <w:sz w:val="24"/>
          <w:szCs w:val="24"/>
        </w:rPr>
      </w:pPr>
      <w:r>
        <w:rPr>
          <w:rFonts w:eastAsia="Malgun Gothic Semilight"/>
          <w:b/>
        </w:rPr>
        <w:t>Miércoles</w:t>
      </w:r>
      <w:r w:rsidR="00510C45" w:rsidRPr="006B6640">
        <w:rPr>
          <w:rFonts w:eastAsia="Malgun Gothic Semilight"/>
          <w:b/>
        </w:rPr>
        <w:t xml:space="preserve">, </w:t>
      </w:r>
      <w:r>
        <w:rPr>
          <w:rFonts w:eastAsia="Malgun Gothic Semilight"/>
          <w:b/>
        </w:rPr>
        <w:t>21</w:t>
      </w:r>
      <w:r w:rsidR="00510C45" w:rsidRPr="006B6640">
        <w:rPr>
          <w:rFonts w:eastAsia="Malgun Gothic Semilight"/>
          <w:b/>
        </w:rPr>
        <w:t xml:space="preserve"> de </w:t>
      </w:r>
      <w:r>
        <w:rPr>
          <w:rFonts w:eastAsia="Malgun Gothic Semilight"/>
          <w:b/>
        </w:rPr>
        <w:t>octubre</w:t>
      </w:r>
      <w:r w:rsidR="00510C45" w:rsidRPr="006B6640">
        <w:rPr>
          <w:rFonts w:eastAsia="Malgun Gothic Semilight"/>
          <w:b/>
        </w:rPr>
        <w:t xml:space="preserve"> de 20</w:t>
      </w:r>
      <w:r w:rsidR="00510C45">
        <w:rPr>
          <w:rFonts w:eastAsia="Malgun Gothic Semilight"/>
          <w:b/>
        </w:rPr>
        <w:t>20</w:t>
      </w:r>
      <w:r w:rsidR="00510C45" w:rsidRPr="006B6640">
        <w:rPr>
          <w:rFonts w:eastAsia="Malgun Gothic Semilight"/>
          <w:b/>
        </w:rPr>
        <w:t>.</w:t>
      </w:r>
      <w:r w:rsidR="00510C45">
        <w:rPr>
          <w:rFonts w:eastAsia="Malgun Gothic Semilight"/>
        </w:rPr>
        <w:t xml:space="preserve"> </w:t>
      </w:r>
      <w:r>
        <w:rPr>
          <w:rFonts w:asciiTheme="majorHAnsi" w:eastAsia="Malgun Gothic Semilight" w:hAnsiTheme="majorHAnsi"/>
          <w:sz w:val="24"/>
          <w:szCs w:val="24"/>
        </w:rPr>
        <w:t xml:space="preserve">El Tribunal Supremo </w:t>
      </w:r>
      <w:r w:rsidR="00FF2A28">
        <w:rPr>
          <w:rFonts w:asciiTheme="majorHAnsi" w:eastAsia="Malgun Gothic Semilight" w:hAnsiTheme="majorHAnsi"/>
          <w:sz w:val="24"/>
          <w:szCs w:val="24"/>
        </w:rPr>
        <w:t>no ha zanjado hoy la polémica</w:t>
      </w:r>
      <w:r w:rsidR="0036251B">
        <w:rPr>
          <w:rFonts w:asciiTheme="majorHAnsi" w:eastAsia="Malgun Gothic Semilight" w:hAnsiTheme="majorHAnsi"/>
          <w:sz w:val="24"/>
          <w:szCs w:val="24"/>
        </w:rPr>
        <w:t xml:space="preserve"> del IRPH</w:t>
      </w:r>
      <w:r w:rsidR="00FF2A28">
        <w:rPr>
          <w:rFonts w:asciiTheme="majorHAnsi" w:eastAsia="Malgun Gothic Semilight" w:hAnsiTheme="majorHAnsi"/>
          <w:sz w:val="24"/>
          <w:szCs w:val="24"/>
        </w:rPr>
        <w:t xml:space="preserve">. </w:t>
      </w:r>
      <w:r w:rsidR="0036251B">
        <w:rPr>
          <w:rFonts w:asciiTheme="majorHAnsi" w:eastAsia="Malgun Gothic Semilight" w:hAnsiTheme="majorHAnsi"/>
          <w:sz w:val="24"/>
          <w:szCs w:val="24"/>
        </w:rPr>
        <w:t>En una sentencia salomónica, establece que en los cuatro casos resueltos</w:t>
      </w:r>
      <w:r w:rsidR="009D2E57">
        <w:rPr>
          <w:rFonts w:asciiTheme="majorHAnsi" w:eastAsia="Malgun Gothic Semilight" w:hAnsiTheme="majorHAnsi"/>
          <w:sz w:val="24"/>
          <w:szCs w:val="24"/>
        </w:rPr>
        <w:t xml:space="preserve"> aprecia falta de transparencia pero no abusividad. </w:t>
      </w:r>
      <w:r w:rsidR="007D5B03">
        <w:rPr>
          <w:rFonts w:asciiTheme="majorHAnsi" w:eastAsia="Malgun Gothic Semilight" w:hAnsiTheme="majorHAnsi"/>
          <w:sz w:val="24"/>
          <w:szCs w:val="24"/>
        </w:rPr>
        <w:t>Una conclusión que va en contra de lo establecido por el abogado general del Tribunal de Justicia de la UE: sólo en los casos en que la cláusula supere el control de transparencia puede entrarse a valorar su abusividad.</w:t>
      </w:r>
      <w:r w:rsidR="00F31BD1">
        <w:rPr>
          <w:rFonts w:asciiTheme="majorHAnsi" w:eastAsia="Malgun Gothic Semilight" w:hAnsiTheme="majorHAnsi"/>
          <w:sz w:val="24"/>
          <w:szCs w:val="24"/>
        </w:rPr>
        <w:t xml:space="preserve"> Si no es transparente, sobra considerar si es abusiva. </w:t>
      </w:r>
    </w:p>
    <w:p w14:paraId="62BAFAF6" w14:textId="2A4B2BD3" w:rsidR="007D5B03" w:rsidRDefault="007D5B03" w:rsidP="00B74F07">
      <w:pPr>
        <w:rPr>
          <w:rFonts w:asciiTheme="majorHAnsi" w:eastAsia="Malgun Gothic Semilight" w:hAnsiTheme="majorHAnsi"/>
          <w:sz w:val="24"/>
          <w:szCs w:val="24"/>
        </w:rPr>
      </w:pPr>
      <w:r>
        <w:rPr>
          <w:rFonts w:asciiTheme="majorHAnsi" w:eastAsia="Malgun Gothic Semilight" w:hAnsiTheme="majorHAnsi"/>
          <w:sz w:val="24"/>
          <w:szCs w:val="24"/>
        </w:rPr>
        <w:t xml:space="preserve">Por otra parte, insta a que en cada caso sí pueda valorarse la abusividad de la cláusula, por lo que estamos ante una sentencia salomónica </w:t>
      </w:r>
      <w:r w:rsidR="00171AF0">
        <w:rPr>
          <w:rFonts w:asciiTheme="majorHAnsi" w:eastAsia="Malgun Gothic Semilight" w:hAnsiTheme="majorHAnsi"/>
          <w:sz w:val="24"/>
          <w:szCs w:val="24"/>
        </w:rPr>
        <w:t xml:space="preserve">y </w:t>
      </w:r>
      <w:proofErr w:type="spellStart"/>
      <w:r w:rsidR="00171AF0">
        <w:rPr>
          <w:rFonts w:asciiTheme="majorHAnsi" w:eastAsia="Malgun Gothic Semilight" w:hAnsiTheme="majorHAnsi"/>
          <w:sz w:val="24"/>
          <w:szCs w:val="24"/>
        </w:rPr>
        <w:t>negacionista</w:t>
      </w:r>
      <w:proofErr w:type="spellEnd"/>
      <w:r w:rsidR="00171AF0">
        <w:rPr>
          <w:rFonts w:asciiTheme="majorHAnsi" w:eastAsia="Malgun Gothic Semilight" w:hAnsiTheme="majorHAnsi"/>
          <w:sz w:val="24"/>
          <w:szCs w:val="24"/>
        </w:rPr>
        <w:t xml:space="preserve"> </w:t>
      </w:r>
      <w:r>
        <w:rPr>
          <w:rFonts w:asciiTheme="majorHAnsi" w:eastAsia="Malgun Gothic Semilight" w:hAnsiTheme="majorHAnsi"/>
          <w:sz w:val="24"/>
          <w:szCs w:val="24"/>
        </w:rPr>
        <w:t>que</w:t>
      </w:r>
      <w:r w:rsidR="00171AF0">
        <w:rPr>
          <w:rFonts w:asciiTheme="majorHAnsi" w:eastAsia="Malgun Gothic Semilight" w:hAnsiTheme="majorHAnsi"/>
          <w:sz w:val="24"/>
          <w:szCs w:val="24"/>
        </w:rPr>
        <w:t xml:space="preserve"> va a seguir dando que hablar</w:t>
      </w:r>
      <w:r>
        <w:rPr>
          <w:rFonts w:asciiTheme="majorHAnsi" w:eastAsia="Malgun Gothic Semilight" w:hAnsiTheme="majorHAnsi"/>
          <w:sz w:val="24"/>
          <w:szCs w:val="24"/>
        </w:rPr>
        <w:t xml:space="preserve">. “Los consumidores tenemos claro que el IRPH ha sido un índice a todas luces manipulable”, afirma Patricia Suárez, presidenta de ASUFIN, que también hace hincapié en la vía europea “que queda totalmente abierta”. </w:t>
      </w:r>
    </w:p>
    <w:p w14:paraId="28A7EAC6" w14:textId="5C41C365" w:rsidR="009D2E57" w:rsidRDefault="007D5B03" w:rsidP="007D5B03">
      <w:pPr>
        <w:rPr>
          <w:rFonts w:asciiTheme="majorHAnsi" w:eastAsia="Malgun Gothic Semilight" w:hAnsiTheme="majorHAnsi"/>
          <w:sz w:val="24"/>
          <w:szCs w:val="24"/>
        </w:rPr>
      </w:pPr>
      <w:r>
        <w:rPr>
          <w:rFonts w:asciiTheme="majorHAnsi" w:eastAsia="Malgun Gothic Semilight" w:hAnsiTheme="majorHAnsi"/>
          <w:sz w:val="24"/>
          <w:szCs w:val="24"/>
        </w:rPr>
        <w:t>“</w:t>
      </w:r>
      <w:r w:rsidR="009D2E57">
        <w:rPr>
          <w:rFonts w:asciiTheme="majorHAnsi" w:eastAsia="Malgun Gothic Semilight" w:hAnsiTheme="majorHAnsi"/>
          <w:sz w:val="24"/>
          <w:szCs w:val="24"/>
        </w:rPr>
        <w:t xml:space="preserve">Seguimos </w:t>
      </w:r>
      <w:r>
        <w:rPr>
          <w:rFonts w:asciiTheme="majorHAnsi" w:eastAsia="Malgun Gothic Semilight" w:hAnsiTheme="majorHAnsi"/>
          <w:sz w:val="24"/>
          <w:szCs w:val="24"/>
        </w:rPr>
        <w:t xml:space="preserve">teniendo pendiente de resolución ante el TJUE la cuestión prejudicial del juzgado de </w:t>
      </w:r>
      <w:r w:rsidR="009D2E57">
        <w:rPr>
          <w:rFonts w:asciiTheme="majorHAnsi" w:eastAsia="Malgun Gothic Semilight" w:hAnsiTheme="majorHAnsi"/>
          <w:sz w:val="24"/>
          <w:szCs w:val="24"/>
        </w:rPr>
        <w:t xml:space="preserve">primera </w:t>
      </w:r>
      <w:r>
        <w:rPr>
          <w:rFonts w:asciiTheme="majorHAnsi" w:eastAsia="Malgun Gothic Semilight" w:hAnsiTheme="majorHAnsi"/>
          <w:sz w:val="24"/>
          <w:szCs w:val="24"/>
        </w:rPr>
        <w:t>instancia de Reus y sabemos de la intención del juzgado de</w:t>
      </w:r>
      <w:r w:rsidR="009D2E57">
        <w:rPr>
          <w:rFonts w:asciiTheme="majorHAnsi" w:eastAsia="Malgun Gothic Semilight" w:hAnsiTheme="majorHAnsi"/>
          <w:sz w:val="24"/>
          <w:szCs w:val="24"/>
        </w:rPr>
        <w:t xml:space="preserve"> primera instancia 3</w:t>
      </w:r>
      <w:r w:rsidR="007F380D">
        <w:rPr>
          <w:rFonts w:asciiTheme="majorHAnsi" w:eastAsia="Malgun Gothic Semilight" w:hAnsiTheme="majorHAnsi"/>
          <w:sz w:val="24"/>
          <w:szCs w:val="24"/>
        </w:rPr>
        <w:t>8</w:t>
      </w:r>
      <w:r w:rsidR="009D2E57">
        <w:rPr>
          <w:rFonts w:asciiTheme="majorHAnsi" w:eastAsia="Malgun Gothic Semilight" w:hAnsiTheme="majorHAnsi"/>
          <w:sz w:val="24"/>
          <w:szCs w:val="24"/>
        </w:rPr>
        <w:t xml:space="preserve"> de Barcelona</w:t>
      </w:r>
      <w:r>
        <w:rPr>
          <w:rFonts w:asciiTheme="majorHAnsi" w:eastAsia="Malgun Gothic Semilight" w:hAnsiTheme="majorHAnsi"/>
          <w:sz w:val="24"/>
          <w:szCs w:val="24"/>
        </w:rPr>
        <w:t xml:space="preserve"> de seguir interrogando </w:t>
      </w:r>
      <w:r w:rsidR="009D372A">
        <w:rPr>
          <w:rFonts w:asciiTheme="majorHAnsi" w:eastAsia="Malgun Gothic Semilight" w:hAnsiTheme="majorHAnsi"/>
          <w:sz w:val="24"/>
          <w:szCs w:val="24"/>
        </w:rPr>
        <w:t xml:space="preserve">a Luxemburgo”, recuerda Suárez, que también pone el foco en el voto particular que de nuevo ha emitido </w:t>
      </w:r>
      <w:r>
        <w:rPr>
          <w:rFonts w:asciiTheme="majorHAnsi" w:eastAsia="Malgun Gothic Semilight" w:hAnsiTheme="majorHAnsi"/>
          <w:sz w:val="24"/>
          <w:szCs w:val="24"/>
        </w:rPr>
        <w:t>el magistrado Francis</w:t>
      </w:r>
      <w:r w:rsidR="009D372A">
        <w:rPr>
          <w:rFonts w:asciiTheme="majorHAnsi" w:eastAsia="Malgun Gothic Semilight" w:hAnsiTheme="majorHAnsi"/>
          <w:sz w:val="24"/>
          <w:szCs w:val="24"/>
        </w:rPr>
        <w:t>co Javier Arroyo Fiestas.</w:t>
      </w:r>
    </w:p>
    <w:p w14:paraId="4D7850B6" w14:textId="16B75B6A" w:rsidR="00FF2A28" w:rsidRDefault="00FF2A28" w:rsidP="00B74F07">
      <w:pPr>
        <w:rPr>
          <w:rFonts w:asciiTheme="majorHAnsi" w:eastAsia="Malgun Gothic Semilight" w:hAnsiTheme="majorHAnsi"/>
          <w:sz w:val="24"/>
          <w:szCs w:val="24"/>
        </w:rPr>
      </w:pPr>
      <w:r>
        <w:rPr>
          <w:rFonts w:asciiTheme="majorHAnsi" w:eastAsia="Malgun Gothic Semilight" w:hAnsiTheme="majorHAnsi"/>
          <w:sz w:val="24"/>
          <w:szCs w:val="24"/>
        </w:rPr>
        <w:t>Miles de asuntos se está</w:t>
      </w:r>
      <w:r w:rsidR="009D372A">
        <w:rPr>
          <w:rFonts w:asciiTheme="majorHAnsi" w:eastAsia="Malgun Gothic Semilight" w:hAnsiTheme="majorHAnsi"/>
          <w:sz w:val="24"/>
          <w:szCs w:val="24"/>
        </w:rPr>
        <w:t xml:space="preserve">n dirimiendo en los tribunales, como recoge el mapa jurisprudencial que actualiza ASUFIN y que refleja la gran división entre </w:t>
      </w:r>
      <w:r w:rsidR="00CE4D44">
        <w:rPr>
          <w:rFonts w:asciiTheme="majorHAnsi" w:eastAsia="Malgun Gothic Semilight" w:hAnsiTheme="majorHAnsi"/>
          <w:sz w:val="24"/>
          <w:szCs w:val="24"/>
        </w:rPr>
        <w:t>juzgados</w:t>
      </w:r>
      <w:r w:rsidR="009D372A">
        <w:rPr>
          <w:rFonts w:asciiTheme="majorHAnsi" w:eastAsia="Malgun Gothic Semilight" w:hAnsiTheme="majorHAnsi"/>
          <w:sz w:val="24"/>
          <w:szCs w:val="24"/>
        </w:rPr>
        <w:t xml:space="preserve">. Asimismo, la asociación mantiene en distintas fases procesales hasta cinco sentencias colectivas contra </w:t>
      </w:r>
      <w:r w:rsidR="00CE4D44">
        <w:rPr>
          <w:rFonts w:asciiTheme="majorHAnsi" w:eastAsia="Malgun Gothic Semilight" w:hAnsiTheme="majorHAnsi"/>
          <w:sz w:val="24"/>
          <w:szCs w:val="24"/>
        </w:rPr>
        <w:t xml:space="preserve">Bankia, </w:t>
      </w:r>
      <w:r w:rsidR="00CE4D44">
        <w:rPr>
          <w:rFonts w:asciiTheme="majorHAnsi" w:eastAsia="Malgun Gothic Semilight" w:hAnsiTheme="majorHAnsi"/>
          <w:sz w:val="24"/>
          <w:szCs w:val="24"/>
        </w:rPr>
        <w:lastRenderedPageBreak/>
        <w:t>Caixabank, BBVA, Banco Sabadell y UCI, de las que las dos primeras están precisamente pendientes de admisión en el Supremo.</w:t>
      </w:r>
      <w:r>
        <w:rPr>
          <w:rFonts w:asciiTheme="majorHAnsi" w:eastAsia="Malgun Gothic Semilight" w:hAnsiTheme="majorHAnsi"/>
          <w:sz w:val="24"/>
          <w:szCs w:val="24"/>
        </w:rPr>
        <w:t xml:space="preserve">  </w:t>
      </w:r>
    </w:p>
    <w:p w14:paraId="583AEFF9" w14:textId="77777777" w:rsidR="00626901" w:rsidRDefault="00626901" w:rsidP="00B74F07">
      <w:pPr>
        <w:rPr>
          <w:rFonts w:asciiTheme="majorHAnsi" w:eastAsia="Malgun Gothic Semilight" w:hAnsiTheme="majorHAnsi"/>
          <w:sz w:val="24"/>
          <w:szCs w:val="24"/>
        </w:rPr>
      </w:pPr>
    </w:p>
    <w:p w14:paraId="133AB9F7" w14:textId="77777777" w:rsidR="00CE4D44" w:rsidRDefault="00CE4D44" w:rsidP="00B74F07">
      <w:pPr>
        <w:rPr>
          <w:rFonts w:asciiTheme="majorHAnsi" w:eastAsia="Malgun Gothic Semilight" w:hAnsiTheme="majorHAnsi"/>
          <w:sz w:val="24"/>
          <w:szCs w:val="24"/>
        </w:rPr>
      </w:pPr>
    </w:p>
    <w:p w14:paraId="282D1E4B" w14:textId="77777777" w:rsidR="00FF2A28" w:rsidRDefault="00FF2A28" w:rsidP="00B74F07">
      <w:pPr>
        <w:rPr>
          <w:rFonts w:asciiTheme="majorHAnsi" w:eastAsia="Malgun Gothic Semilight" w:hAnsiTheme="majorHAnsi"/>
          <w:sz w:val="24"/>
          <w:szCs w:val="24"/>
        </w:rPr>
      </w:pPr>
    </w:p>
    <w:p w14:paraId="4F360FFC" w14:textId="78A7B48E" w:rsidR="005106E5" w:rsidRDefault="00626901" w:rsidP="00B74F07">
      <w:pPr>
        <w:rPr>
          <w:rFonts w:asciiTheme="majorHAnsi" w:eastAsia="Malgun Gothic Semilight" w:hAnsiTheme="majorHAnsi"/>
          <w:sz w:val="24"/>
          <w:szCs w:val="24"/>
        </w:rPr>
      </w:pPr>
      <w:r>
        <w:rPr>
          <w:rFonts w:asciiTheme="majorHAnsi" w:eastAsia="Malgun Gothic Semilight" w:hAnsiTheme="majorHAnsi"/>
          <w:noProof/>
          <w:sz w:val="24"/>
          <w:szCs w:val="24"/>
          <w:lang w:eastAsia="es-ES"/>
        </w:rPr>
        <w:drawing>
          <wp:inline distT="0" distB="0" distL="0" distR="0" wp14:anchorId="09A4CE82" wp14:editId="754BD142">
            <wp:extent cx="5744210" cy="5744210"/>
            <wp:effectExtent l="0" t="0" r="0" b="0"/>
            <wp:docPr id="1" name="Imagen 1" descr="Macintosh HD:Users:GZSZ:ASUFIN Dropbox:MARKETING:_ASUFIN_DISEÑO:_GRAFICOS_DEFINITIVOS:_IRPH:_201009_MAPA:201009_IG_IRPH_MAPA_POST_TJUE_MAPA_IG:201009_IRPH_MAPA_POST_TJUE_201009_MAPA_IG_CUADRAD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ZSZ:ASUFIN Dropbox:MARKETING:_ASUFIN_DISEÑO:_GRAFICOS_DEFINITIVOS:_IRPH:_201009_MAPA:201009_IG_IRPH_MAPA_POST_TJUE_MAPA_IG:201009_IRPH_MAPA_POST_TJUE_201009_MAPA_IG_CUADRADO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57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694DC" w14:textId="77777777" w:rsidR="00626901" w:rsidRDefault="00626901" w:rsidP="00510C45">
      <w:pPr>
        <w:rPr>
          <w:rFonts w:eastAsia="Malgun Gothic Semilight"/>
          <w:lang w:val="es-ES_tradnl"/>
        </w:rPr>
      </w:pPr>
    </w:p>
    <w:p w14:paraId="61499DB4" w14:textId="4FB813D8" w:rsidR="00626901" w:rsidRDefault="00626901" w:rsidP="00510C45">
      <w:pPr>
        <w:rPr>
          <w:rFonts w:eastAsia="Malgun Gothic Semilight"/>
          <w:lang w:val="es-ES_tradnl"/>
        </w:rPr>
      </w:pPr>
      <w:r>
        <w:rPr>
          <w:rFonts w:eastAsia="Malgun Gothic Semilight"/>
          <w:noProof/>
          <w:lang w:eastAsia="es-ES"/>
        </w:rPr>
        <w:lastRenderedPageBreak/>
        <w:drawing>
          <wp:inline distT="0" distB="0" distL="0" distR="0" wp14:anchorId="43C1448A" wp14:editId="541BF5F8">
            <wp:extent cx="5744210" cy="5744210"/>
            <wp:effectExtent l="0" t="0" r="0" b="0"/>
            <wp:docPr id="5" name="Imagen 3" descr="Macintosh HD:Users:GZSZ:ASUFIN Dropbox:MARKETING:_ASUFIN_DISEÑO:_GRAFICOS_DEFINITIVOS:_IRPH:_201009_MAPA:201009_IG_IRPH_MAPA_POST_TJUE_MAPA_IG:201009_IRPH_MAPA_POST_TJUE_201009_MAPA_IG_CUADRAD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ZSZ:ASUFIN Dropbox:MARKETING:_ASUFIN_DISEÑO:_GRAFICOS_DEFINITIVOS:_IRPH:_201009_MAPA:201009_IG_IRPH_MAPA_POST_TJUE_MAPA_IG:201009_IRPH_MAPA_POST_TJUE_201009_MAPA_IG_CUADRADO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57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Malgun Gothic Semilight"/>
          <w:noProof/>
          <w:lang w:eastAsia="es-ES"/>
        </w:rPr>
        <w:lastRenderedPageBreak/>
        <w:drawing>
          <wp:inline distT="0" distB="0" distL="0" distR="0" wp14:anchorId="2AEFB5E7" wp14:editId="659BE748">
            <wp:extent cx="5744210" cy="5744210"/>
            <wp:effectExtent l="0" t="0" r="0" b="0"/>
            <wp:docPr id="4" name="Imagen 2" descr="Macintosh HD:Users:GZSZ:ASUFIN Dropbox:MARKETING:_ASUFIN_DISEÑO:_GRAFICOS_DEFINITIVOS:_IRPH:_201009_MAPA:201009_IG_IRPH_MAPA_POST_TJUE_MAPA_IG:201009_IRPH_MAPA_POST_TJUE_201009_MAPA_IG_CUADRAD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ZSZ:ASUFIN Dropbox:MARKETING:_ASUFIN_DISEÑO:_GRAFICOS_DEFINITIVOS:_IRPH:_201009_MAPA:201009_IG_IRPH_MAPA_POST_TJUE_MAPA_IG:201009_IRPH_MAPA_POST_TJUE_201009_MAPA_IG_CUADRADO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57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3DDCD" w14:textId="77777777" w:rsidR="00626901" w:rsidRDefault="00626901" w:rsidP="00510C45">
      <w:pPr>
        <w:rPr>
          <w:rFonts w:eastAsia="Malgun Gothic Semilight"/>
          <w:lang w:val="es-ES_tradnl"/>
        </w:rPr>
      </w:pPr>
    </w:p>
    <w:p w14:paraId="78CAD7A8" w14:textId="77777777" w:rsidR="00510C45" w:rsidRDefault="00E31A91" w:rsidP="00510C45">
      <w:pPr>
        <w:rPr>
          <w:rFonts w:eastAsia="Malgun Gothic Semilight"/>
          <w:lang w:val="es-ES_tradnl"/>
        </w:rPr>
      </w:pPr>
      <w:r>
        <w:rPr>
          <w:rFonts w:eastAsia="Malgun Gothic Semilight"/>
          <w:lang w:val="es-ES_tradnl"/>
        </w:rPr>
        <w:t>….</w:t>
      </w:r>
    </w:p>
    <w:p w14:paraId="18C05353" w14:textId="788885FE" w:rsidR="00E31A91" w:rsidRPr="000F7F65" w:rsidRDefault="00E31A91" w:rsidP="00E31A91">
      <w:pPr>
        <w:spacing w:after="0" w:line="240" w:lineRule="auto"/>
        <w:rPr>
          <w:rFonts w:eastAsia="Malgun Gothic Semilight"/>
          <w:b/>
          <w:color w:val="404040" w:themeColor="text1" w:themeTint="BF"/>
          <w:sz w:val="20"/>
          <w:szCs w:val="20"/>
          <w:lang w:val="es-ES_tradnl"/>
        </w:rPr>
      </w:pPr>
      <w:r w:rsidRPr="00E31A91">
        <w:rPr>
          <w:rFonts w:eastAsia="Malgun Gothic Semilight"/>
          <w:b/>
          <w:color w:val="404040" w:themeColor="text1" w:themeTint="BF"/>
          <w:sz w:val="20"/>
          <w:szCs w:val="20"/>
          <w:lang w:val="es-ES_tradnl"/>
        </w:rPr>
        <w:t xml:space="preserve">CONTACTO: Verónica Rodríguez. </w:t>
      </w:r>
      <w:r w:rsidR="00252F98">
        <w:rPr>
          <w:rFonts w:eastAsia="Malgun Gothic Semilight"/>
          <w:b/>
          <w:color w:val="404040" w:themeColor="text1" w:themeTint="BF"/>
          <w:sz w:val="20"/>
          <w:szCs w:val="20"/>
          <w:lang w:val="es-ES_tradnl"/>
        </w:rPr>
        <w:t>629 35 58 92</w:t>
      </w:r>
      <w:r w:rsidRPr="00E31A91">
        <w:rPr>
          <w:rFonts w:ascii="Times New Roman" w:eastAsia="Malgun Gothic Semilight" w:hAnsi="Times New Roman" w:cs="Times New Roman"/>
          <w:b/>
          <w:color w:val="404040" w:themeColor="text1" w:themeTint="BF"/>
          <w:sz w:val="20"/>
          <w:szCs w:val="20"/>
          <w:lang w:val="es-ES_tradnl"/>
        </w:rPr>
        <w:t>‬</w:t>
      </w:r>
      <w:r w:rsidR="000F7F65">
        <w:rPr>
          <w:rFonts w:ascii="Times New Roman" w:eastAsia="Malgun Gothic Semilight" w:hAnsi="Times New Roman" w:cs="Times New Roman"/>
          <w:b/>
          <w:color w:val="404040" w:themeColor="text1" w:themeTint="BF"/>
          <w:sz w:val="20"/>
          <w:szCs w:val="20"/>
          <w:lang w:val="es-ES_tradnl"/>
        </w:rPr>
        <w:t xml:space="preserve"> </w:t>
      </w:r>
      <w:r w:rsidR="000F7F65" w:rsidRPr="000F7F65">
        <w:rPr>
          <w:rFonts w:eastAsia="Malgun Gothic Semilight"/>
          <w:b/>
          <w:color w:val="404040" w:themeColor="text1" w:themeTint="BF"/>
          <w:sz w:val="20"/>
          <w:szCs w:val="20"/>
          <w:lang w:val="es-ES_tradnl"/>
        </w:rPr>
        <w:t xml:space="preserve">- </w:t>
      </w:r>
      <w:r w:rsidR="000F7F65">
        <w:rPr>
          <w:rFonts w:eastAsia="Malgun Gothic Semilight"/>
          <w:b/>
          <w:color w:val="404040" w:themeColor="text1" w:themeTint="BF"/>
          <w:sz w:val="20"/>
          <w:szCs w:val="20"/>
          <w:lang w:val="es-ES_tradnl"/>
        </w:rPr>
        <w:t>v.rodriguez@asufin.com</w:t>
      </w:r>
      <w:r w:rsidRPr="000F7F65">
        <w:rPr>
          <w:rFonts w:eastAsia="Malgun Gothic Semilight"/>
          <w:b/>
          <w:color w:val="404040" w:themeColor="text1" w:themeTint="BF"/>
          <w:sz w:val="20"/>
          <w:szCs w:val="20"/>
          <w:lang w:val="es-ES_tradnl"/>
        </w:rPr>
        <w:t xml:space="preserve"> </w:t>
      </w:r>
    </w:p>
    <w:p w14:paraId="25496468" w14:textId="36EC53D5" w:rsidR="00E31A91" w:rsidRDefault="00E31A91" w:rsidP="00510C45">
      <w:pPr>
        <w:rPr>
          <w:rFonts w:eastAsia="Malgun Gothic Semilight"/>
          <w:b/>
          <w:color w:val="404040" w:themeColor="text1" w:themeTint="BF"/>
          <w:sz w:val="20"/>
          <w:szCs w:val="20"/>
          <w:lang w:val="es-ES_tradnl"/>
        </w:rPr>
      </w:pPr>
      <w:r w:rsidRPr="00E31A91">
        <w:rPr>
          <w:rFonts w:eastAsia="Malgun Gothic Semilight"/>
          <w:b/>
          <w:color w:val="404040" w:themeColor="text1" w:themeTint="BF"/>
          <w:sz w:val="20"/>
          <w:szCs w:val="20"/>
          <w:lang w:val="es-ES_tradnl"/>
        </w:rPr>
        <w:t>Directora de comunicaci</w:t>
      </w:r>
      <w:r w:rsidR="00252F98">
        <w:rPr>
          <w:rFonts w:eastAsia="Malgun Gothic Semilight"/>
          <w:b/>
          <w:color w:val="404040" w:themeColor="text1" w:themeTint="BF"/>
          <w:sz w:val="20"/>
          <w:szCs w:val="20"/>
          <w:lang w:val="es-ES_tradnl"/>
        </w:rPr>
        <w:t>ón y relaciones institucionales</w:t>
      </w:r>
    </w:p>
    <w:p w14:paraId="0B9DA7AD" w14:textId="77777777" w:rsidR="000F7F65" w:rsidRPr="00E31A91" w:rsidRDefault="000F7F65" w:rsidP="00510C45">
      <w:pPr>
        <w:rPr>
          <w:rFonts w:eastAsia="Malgun Gothic Semilight"/>
          <w:b/>
          <w:color w:val="404040" w:themeColor="text1" w:themeTint="BF"/>
          <w:sz w:val="20"/>
          <w:szCs w:val="20"/>
          <w:lang w:val="es-ES_tradnl"/>
        </w:rPr>
      </w:pPr>
    </w:p>
    <w:p w14:paraId="3A364CAC" w14:textId="32E4D4F6" w:rsidR="00510C45" w:rsidRDefault="00510C45" w:rsidP="00510C45">
      <w:pPr>
        <w:pBdr>
          <w:top w:val="single" w:sz="4" w:space="1" w:color="B63494"/>
          <w:left w:val="single" w:sz="4" w:space="4" w:color="B63494"/>
          <w:bottom w:val="single" w:sz="4" w:space="1" w:color="B63494"/>
          <w:right w:val="single" w:sz="4" w:space="4" w:color="B63494"/>
        </w:pBdr>
        <w:rPr>
          <w:rFonts w:eastAsia="Malgun Gothic Semilight" w:cs="Malgun Gothic Semilight"/>
          <w:color w:val="4A442A" w:themeColor="background2" w:themeShade="40"/>
          <w:sz w:val="20"/>
          <w:szCs w:val="20"/>
        </w:rPr>
      </w:pPr>
      <w:r w:rsidRPr="00E31A91">
        <w:rPr>
          <w:rFonts w:eastAsia="Malgun Gothic Semilight" w:cs="Malgun Gothic Semilight"/>
          <w:color w:val="FF0099"/>
          <w:kern w:val="36"/>
          <w:sz w:val="20"/>
          <w:szCs w:val="20"/>
        </w:rPr>
        <w:t>ASUFIN</w:t>
      </w:r>
      <w:r w:rsidRPr="00E31A91">
        <w:rPr>
          <w:rFonts w:eastAsia="Malgun Gothic Semilight" w:cs="Malgun Gothic Semilight"/>
          <w:sz w:val="20"/>
          <w:szCs w:val="20"/>
        </w:rPr>
        <w:t xml:space="preserve"> </w:t>
      </w:r>
      <w:r w:rsidRPr="00E31A91">
        <w:rPr>
          <w:rFonts w:eastAsia="Malgun Gothic Semilight" w:cs="Malgun Gothic Semilight"/>
          <w:color w:val="4A442A" w:themeColor="background2" w:themeShade="40"/>
          <w:sz w:val="20"/>
          <w:szCs w:val="20"/>
        </w:rPr>
        <w:t xml:space="preserve">es una asociación sin ánimo de lucro fundada </w:t>
      </w:r>
      <w:r w:rsidR="00447F42">
        <w:rPr>
          <w:rFonts w:eastAsia="Malgun Gothic Semilight" w:cs="Malgun Gothic Semilight"/>
          <w:color w:val="4A442A" w:themeColor="background2" w:themeShade="40"/>
          <w:sz w:val="20"/>
          <w:szCs w:val="20"/>
        </w:rPr>
        <w:t xml:space="preserve">en 2009 </w:t>
      </w:r>
      <w:r w:rsidRPr="00E31A91">
        <w:rPr>
          <w:rFonts w:eastAsia="Malgun Gothic Semilight" w:cs="Malgun Gothic Semilight"/>
          <w:color w:val="4A442A" w:themeColor="background2" w:themeShade="40"/>
          <w:sz w:val="20"/>
          <w:szCs w:val="20"/>
        </w:rPr>
        <w:t>para la defensa del consumidor de productos financieros. Está inscrita con el nr. 21 en el Registro Estatal de Asociaciones de Consumidores y Usuarios (REACU).</w:t>
      </w:r>
    </w:p>
    <w:p w14:paraId="54E9D846" w14:textId="77777777" w:rsidR="004D4C12" w:rsidRDefault="004D4C12" w:rsidP="004D4C12">
      <w:pPr>
        <w:pBdr>
          <w:top w:val="single" w:sz="4" w:space="1" w:color="B63494"/>
          <w:left w:val="single" w:sz="4" w:space="4" w:color="B63494"/>
          <w:bottom w:val="single" w:sz="4" w:space="1" w:color="B63494"/>
          <w:right w:val="single" w:sz="4" w:space="4" w:color="B63494"/>
        </w:pBdr>
        <w:rPr>
          <w:rFonts w:eastAsia="Malgun Gothic Semilight" w:cs="Malgun Gothic Semilight"/>
          <w:color w:val="4A442A" w:themeColor="background2" w:themeShade="40"/>
          <w:sz w:val="20"/>
          <w:szCs w:val="20"/>
        </w:rPr>
      </w:pPr>
      <w:r w:rsidRPr="00E31A91">
        <w:rPr>
          <w:rFonts w:eastAsia="Malgun Gothic Semilight" w:cs="Malgun Gothic Semilight"/>
          <w:color w:val="FF0099"/>
          <w:kern w:val="36"/>
          <w:sz w:val="20"/>
          <w:szCs w:val="20"/>
        </w:rPr>
        <w:t>ASUFIN</w:t>
      </w:r>
      <w:r>
        <w:rPr>
          <w:rFonts w:eastAsia="Malgun Gothic Semilight" w:cs="Malgun Gothic Semilight"/>
          <w:color w:val="4A442A" w:themeColor="background2" w:themeShade="40"/>
          <w:sz w:val="20"/>
          <w:szCs w:val="20"/>
        </w:rPr>
        <w:t xml:space="preserve"> forma parte de las asociaciones europeas BEUC y </w:t>
      </w:r>
      <w:proofErr w:type="spellStart"/>
      <w:r>
        <w:rPr>
          <w:rFonts w:eastAsia="Malgun Gothic Semilight" w:cs="Malgun Gothic Semilight"/>
          <w:color w:val="4A442A" w:themeColor="background2" w:themeShade="40"/>
          <w:sz w:val="20"/>
          <w:szCs w:val="20"/>
        </w:rPr>
        <w:t>Finance</w:t>
      </w:r>
      <w:proofErr w:type="spellEnd"/>
      <w:r>
        <w:rPr>
          <w:rFonts w:eastAsia="Malgun Gothic Semilight" w:cs="Malgun Gothic Semilight"/>
          <w:color w:val="4A442A" w:themeColor="background2" w:themeShade="40"/>
          <w:sz w:val="20"/>
          <w:szCs w:val="20"/>
        </w:rPr>
        <w:t xml:space="preserve"> </w:t>
      </w:r>
      <w:proofErr w:type="spellStart"/>
      <w:r>
        <w:rPr>
          <w:rFonts w:eastAsia="Malgun Gothic Semilight" w:cs="Malgun Gothic Semilight"/>
          <w:color w:val="4A442A" w:themeColor="background2" w:themeShade="40"/>
          <w:sz w:val="20"/>
          <w:szCs w:val="20"/>
        </w:rPr>
        <w:t>Watch</w:t>
      </w:r>
      <w:proofErr w:type="spellEnd"/>
      <w:r>
        <w:rPr>
          <w:rFonts w:eastAsia="Malgun Gothic Semilight" w:cs="Malgun Gothic Semilight"/>
          <w:color w:val="4A442A" w:themeColor="background2" w:themeShade="40"/>
          <w:sz w:val="20"/>
          <w:szCs w:val="20"/>
        </w:rPr>
        <w:t>.</w:t>
      </w:r>
    </w:p>
    <w:p w14:paraId="50283E7F" w14:textId="6E3AC068" w:rsidR="00E31A91" w:rsidRDefault="00E31A91" w:rsidP="00510C45">
      <w:pPr>
        <w:pBdr>
          <w:top w:val="single" w:sz="4" w:space="1" w:color="B63494"/>
          <w:left w:val="single" w:sz="4" w:space="4" w:color="B63494"/>
          <w:bottom w:val="single" w:sz="4" w:space="1" w:color="B63494"/>
          <w:right w:val="single" w:sz="4" w:space="4" w:color="B63494"/>
        </w:pBdr>
        <w:rPr>
          <w:rFonts w:eastAsia="Malgun Gothic Semilight" w:cs="Malgun Gothic Semilight"/>
          <w:color w:val="4A442A" w:themeColor="background2" w:themeShade="40"/>
          <w:sz w:val="20"/>
          <w:szCs w:val="20"/>
        </w:rPr>
      </w:pPr>
      <w:r w:rsidRPr="00E31A91">
        <w:rPr>
          <w:rFonts w:eastAsia="Malgun Gothic Semilight" w:cs="Malgun Gothic Semilight"/>
          <w:color w:val="FF0099"/>
          <w:kern w:val="36"/>
          <w:sz w:val="20"/>
          <w:szCs w:val="20"/>
        </w:rPr>
        <w:lastRenderedPageBreak/>
        <w:t>ASUFIN</w:t>
      </w:r>
      <w:r w:rsidRPr="00E31A91">
        <w:rPr>
          <w:rFonts w:eastAsia="Malgun Gothic Semilight" w:cs="Malgun Gothic Semilight"/>
          <w:color w:val="4A442A" w:themeColor="background2" w:themeShade="40"/>
          <w:sz w:val="20"/>
          <w:szCs w:val="20"/>
        </w:rPr>
        <w:t xml:space="preserve"> </w:t>
      </w:r>
      <w:r>
        <w:rPr>
          <w:rFonts w:eastAsia="Malgun Gothic Semilight" w:cs="Malgun Gothic Semilight"/>
          <w:color w:val="4A442A" w:themeColor="background2" w:themeShade="40"/>
          <w:sz w:val="20"/>
          <w:szCs w:val="20"/>
        </w:rPr>
        <w:t>desarrolla, entre otros, programas de educación financiera y digital, sobre-endeudamiento y préstamo responsable, vivienda, seguros, inversión y finanzas sostenibles en el marco de la agenda 2030.</w:t>
      </w:r>
      <w:r w:rsidR="00447F42">
        <w:rPr>
          <w:rFonts w:eastAsia="Malgun Gothic Semilight" w:cs="Malgun Gothic Semilight"/>
          <w:color w:val="4A442A" w:themeColor="background2" w:themeShade="40"/>
          <w:sz w:val="20"/>
          <w:szCs w:val="20"/>
        </w:rPr>
        <w:t xml:space="preserve"> La asociación</w:t>
      </w:r>
      <w:r w:rsidR="00447F42">
        <w:rPr>
          <w:rFonts w:eastAsia="Malgun Gothic Semilight" w:cs="Malgun Gothic Semilight"/>
          <w:color w:val="FF0099"/>
          <w:kern w:val="36"/>
          <w:sz w:val="20"/>
          <w:szCs w:val="20"/>
        </w:rPr>
        <w:t xml:space="preserve"> </w:t>
      </w:r>
      <w:r w:rsidR="00447F42">
        <w:rPr>
          <w:rFonts w:eastAsia="Malgun Gothic Semilight" w:cs="Malgun Gothic Semilight"/>
          <w:color w:val="4A442A" w:themeColor="background2" w:themeShade="40"/>
          <w:sz w:val="20"/>
          <w:szCs w:val="20"/>
        </w:rPr>
        <w:t>cuenta con más de 20.000 socios en España.</w:t>
      </w:r>
    </w:p>
    <w:p w14:paraId="1CFAC59D" w14:textId="4F2D19D3" w:rsidR="00737A56" w:rsidRPr="00E31A91" w:rsidRDefault="00737A56" w:rsidP="00510C45">
      <w:pPr>
        <w:pBdr>
          <w:top w:val="single" w:sz="4" w:space="1" w:color="B63494"/>
          <w:left w:val="single" w:sz="4" w:space="4" w:color="B63494"/>
          <w:bottom w:val="single" w:sz="4" w:space="1" w:color="B63494"/>
          <w:right w:val="single" w:sz="4" w:space="4" w:color="B63494"/>
        </w:pBdr>
        <w:rPr>
          <w:rFonts w:eastAsia="Malgun Gothic Semilight" w:cs="Malgun Gothic Semilight"/>
          <w:color w:val="4A442A" w:themeColor="background2" w:themeShade="40"/>
          <w:sz w:val="20"/>
          <w:szCs w:val="20"/>
        </w:rPr>
      </w:pPr>
      <w:r>
        <w:rPr>
          <w:rFonts w:eastAsia="Malgun Gothic Semilight" w:cs="Malgun Gothic Semilight"/>
          <w:color w:val="4A442A" w:themeColor="background2" w:themeShade="40"/>
          <w:sz w:val="20"/>
          <w:szCs w:val="20"/>
        </w:rPr>
        <w:t xml:space="preserve">El contenido </w:t>
      </w:r>
      <w:r w:rsidR="00077C92">
        <w:rPr>
          <w:rFonts w:eastAsia="Malgun Gothic Semilight" w:cs="Malgun Gothic Semilight"/>
          <w:color w:val="4A442A" w:themeColor="background2" w:themeShade="40"/>
          <w:sz w:val="20"/>
          <w:szCs w:val="20"/>
        </w:rPr>
        <w:t xml:space="preserve">de esta nota es informativo y puede hacerse uso del mismo siempre y cuando se cite expresamente como fuente a ASUFIN </w:t>
      </w:r>
      <w:r>
        <w:rPr>
          <w:rFonts w:eastAsia="Malgun Gothic Semilight" w:cs="Malgun Gothic Semilight"/>
          <w:color w:val="4A442A" w:themeColor="background2" w:themeShade="40"/>
          <w:sz w:val="20"/>
          <w:szCs w:val="20"/>
        </w:rPr>
        <w:t xml:space="preserve"> </w:t>
      </w:r>
    </w:p>
    <w:p w14:paraId="32F26A13" w14:textId="77777777" w:rsidR="00510C45" w:rsidRDefault="00510C45" w:rsidP="008271AA"/>
    <w:sectPr w:rsidR="00510C45" w:rsidSect="00170CD4">
      <w:headerReference w:type="default" r:id="rId12"/>
      <w:footerReference w:type="default" r:id="rId13"/>
      <w:pgSz w:w="11900" w:h="16840"/>
      <w:pgMar w:top="2268" w:right="1418" w:bottom="1276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3D20E8" w14:textId="77777777" w:rsidR="00171AF0" w:rsidRDefault="00171AF0" w:rsidP="00DA1912">
      <w:r>
        <w:separator/>
      </w:r>
    </w:p>
  </w:endnote>
  <w:endnote w:type="continuationSeparator" w:id="0">
    <w:p w14:paraId="00E62EA8" w14:textId="77777777" w:rsidR="00171AF0" w:rsidRDefault="00171AF0" w:rsidP="00DA1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 Bold Italic"/>
    <w:charset w:val="00"/>
    <w:family w:val="auto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ontserrat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Malgun Gothic Semilight">
    <w:altName w:val="Arial Unicode MS"/>
    <w:charset w:val="81"/>
    <w:family w:val="swiss"/>
    <w:pitch w:val="variable"/>
    <w:sig w:usb0="B0000AAF" w:usb1="09DF7CFB" w:usb2="00000012" w:usb3="00000000" w:csb0="003E01BD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EF25D" w14:textId="77777777" w:rsidR="00171AF0" w:rsidRDefault="00171AF0" w:rsidP="00324E0A">
    <w:pPr>
      <w:pStyle w:val="Piedepgina"/>
      <w:tabs>
        <w:tab w:val="clear" w:pos="8504"/>
        <w:tab w:val="right" w:pos="9923"/>
      </w:tabs>
      <w:ind w:right="-1701" w:hanging="2835"/>
      <w:jc w:val="right"/>
    </w:pPr>
  </w:p>
  <w:p w14:paraId="7274D38A" w14:textId="77777777" w:rsidR="00171AF0" w:rsidRPr="00170CD4" w:rsidRDefault="00171AF0" w:rsidP="00170CD4">
    <w:pPr>
      <w:pStyle w:val="Piedepgina"/>
      <w:pBdr>
        <w:top w:val="single" w:sz="12" w:space="1" w:color="56A944"/>
      </w:pBdr>
      <w:tabs>
        <w:tab w:val="clear" w:pos="8504"/>
      </w:tabs>
      <w:spacing w:after="0" w:line="240" w:lineRule="auto"/>
      <w:ind w:left="-567" w:right="-575"/>
      <w:jc w:val="center"/>
      <w:rPr>
        <w:rFonts w:cs="Times New Roman"/>
        <w:color w:val="808080" w:themeColor="background1" w:themeShade="80"/>
        <w:sz w:val="16"/>
        <w:szCs w:val="16"/>
      </w:rPr>
    </w:pPr>
  </w:p>
  <w:p w14:paraId="06E45BB5" w14:textId="77777777" w:rsidR="00171AF0" w:rsidRDefault="00171AF0" w:rsidP="00170CD4">
    <w:pPr>
      <w:pStyle w:val="Piedepgina"/>
      <w:tabs>
        <w:tab w:val="clear" w:pos="8504"/>
      </w:tabs>
      <w:spacing w:after="0" w:line="240" w:lineRule="auto"/>
      <w:ind w:left="-567" w:right="-1004"/>
      <w:jc w:val="center"/>
      <w:rPr>
        <w:rFonts w:cs="Times New Roman"/>
        <w:color w:val="808080" w:themeColor="background1" w:themeShade="80"/>
        <w:sz w:val="18"/>
        <w:szCs w:val="18"/>
      </w:rPr>
    </w:pPr>
    <w:r>
      <w:rPr>
        <w:rFonts w:cs="Times New Roman"/>
        <w:color w:val="808080" w:themeColor="background1" w:themeShade="80"/>
        <w:sz w:val="18"/>
        <w:szCs w:val="18"/>
      </w:rPr>
      <w:t xml:space="preserve">Plaza de las Cortes, 4 – 4D – 28014 Madrid – Tel. </w:t>
    </w:r>
    <w:r w:rsidRPr="002346FC">
      <w:rPr>
        <w:rFonts w:cs="Times New Roman"/>
        <w:color w:val="808080" w:themeColor="background1" w:themeShade="80"/>
        <w:sz w:val="18"/>
        <w:szCs w:val="18"/>
      </w:rPr>
      <w:t>915 327 583</w:t>
    </w:r>
    <w:r>
      <w:rPr>
        <w:rFonts w:cs="Times New Roman"/>
        <w:color w:val="808080" w:themeColor="background1" w:themeShade="80"/>
        <w:sz w:val="18"/>
        <w:szCs w:val="18"/>
      </w:rPr>
      <w:t xml:space="preserve"> – </w:t>
    </w:r>
    <w:r w:rsidRPr="002346FC">
      <w:rPr>
        <w:rFonts w:cs="Times New Roman"/>
        <w:color w:val="808080" w:themeColor="background1" w:themeShade="80"/>
        <w:sz w:val="18"/>
        <w:szCs w:val="18"/>
      </w:rPr>
      <w:t>www.asufin</w:t>
    </w:r>
    <w:r>
      <w:rPr>
        <w:rFonts w:cs="Times New Roman"/>
        <w:color w:val="808080" w:themeColor="background1" w:themeShade="80"/>
        <w:sz w:val="18"/>
        <w:szCs w:val="18"/>
      </w:rPr>
      <w:t xml:space="preserve">.com - info@asufin.com </w:t>
    </w:r>
  </w:p>
  <w:p w14:paraId="019EEAED" w14:textId="77777777" w:rsidR="00171AF0" w:rsidRDefault="00171AF0" w:rsidP="00170CD4">
    <w:pPr>
      <w:pStyle w:val="Piedepgina"/>
      <w:tabs>
        <w:tab w:val="clear" w:pos="8504"/>
      </w:tabs>
      <w:spacing w:after="0" w:line="240" w:lineRule="auto"/>
      <w:ind w:left="-567" w:right="-1004"/>
      <w:jc w:val="center"/>
      <w:rPr>
        <w:rFonts w:cs="Times New Roman"/>
        <w:color w:val="808080" w:themeColor="background1" w:themeShade="80"/>
        <w:sz w:val="18"/>
        <w:szCs w:val="18"/>
      </w:rPr>
    </w:pPr>
    <w:r>
      <w:rPr>
        <w:rFonts w:cs="Times New Roman"/>
        <w:color w:val="808080" w:themeColor="background1" w:themeShade="80"/>
        <w:sz w:val="18"/>
        <w:szCs w:val="18"/>
      </w:rPr>
      <w:t xml:space="preserve">CIF </w:t>
    </w:r>
    <w:r w:rsidRPr="002346FC">
      <w:rPr>
        <w:rFonts w:cs="Times New Roman"/>
        <w:color w:val="808080" w:themeColor="background1" w:themeShade="80"/>
        <w:sz w:val="18"/>
        <w:szCs w:val="18"/>
      </w:rPr>
      <w:t>G85769743</w:t>
    </w:r>
    <w:r>
      <w:rPr>
        <w:rFonts w:cs="Times New Roman"/>
        <w:color w:val="808080" w:themeColor="background1" w:themeShade="80"/>
        <w:sz w:val="18"/>
        <w:szCs w:val="18"/>
      </w:rPr>
      <w:t xml:space="preserve"> – Registro Estatal de Asociaciones de Consumidores y Usuarios nr. 21</w:t>
    </w:r>
  </w:p>
  <w:p w14:paraId="48A7341A" w14:textId="77777777" w:rsidR="00171AF0" w:rsidRDefault="00171AF0" w:rsidP="00170CD4">
    <w:pPr>
      <w:pStyle w:val="Piedepgina"/>
      <w:tabs>
        <w:tab w:val="clear" w:pos="8504"/>
      </w:tabs>
      <w:spacing w:after="0" w:line="240" w:lineRule="auto"/>
      <w:ind w:left="-567" w:right="-1004"/>
      <w:jc w:val="center"/>
      <w:rPr>
        <w:rFonts w:cs="Times New Roman"/>
        <w:color w:val="808080" w:themeColor="background1" w:themeShade="80"/>
        <w:sz w:val="18"/>
        <w:szCs w:val="18"/>
      </w:rPr>
    </w:pPr>
    <w:r w:rsidRPr="00DB7B00">
      <w:rPr>
        <w:rFonts w:cs="Times New Roman"/>
        <w:color w:val="808080" w:themeColor="background1" w:themeShade="80"/>
        <w:sz w:val="18"/>
        <w:szCs w:val="18"/>
      </w:rPr>
      <w:fldChar w:fldCharType="begin"/>
    </w:r>
    <w:r w:rsidRPr="00DB7B00">
      <w:rPr>
        <w:rFonts w:cs="Times New Roman"/>
        <w:color w:val="808080" w:themeColor="background1" w:themeShade="80"/>
        <w:sz w:val="18"/>
        <w:szCs w:val="18"/>
      </w:rPr>
      <w:instrText xml:space="preserve"> PAGE </w:instrText>
    </w:r>
    <w:r w:rsidRPr="00DB7B00">
      <w:rPr>
        <w:rFonts w:cs="Times New Roman"/>
        <w:color w:val="808080" w:themeColor="background1" w:themeShade="80"/>
        <w:sz w:val="18"/>
        <w:szCs w:val="18"/>
      </w:rPr>
      <w:fldChar w:fldCharType="separate"/>
    </w:r>
    <w:r w:rsidR="000B3892">
      <w:rPr>
        <w:rFonts w:cs="Times New Roman"/>
        <w:noProof/>
        <w:color w:val="808080" w:themeColor="background1" w:themeShade="80"/>
        <w:sz w:val="18"/>
        <w:szCs w:val="18"/>
      </w:rPr>
      <w:t>1</w:t>
    </w:r>
    <w:r w:rsidRPr="00DB7B00">
      <w:rPr>
        <w:rFonts w:cs="Times New Roman"/>
        <w:color w:val="808080" w:themeColor="background1" w:themeShade="80"/>
        <w:sz w:val="18"/>
        <w:szCs w:val="18"/>
      </w:rPr>
      <w:fldChar w:fldCharType="end"/>
    </w:r>
    <w:r w:rsidRPr="00DB7B00">
      <w:rPr>
        <w:rFonts w:cs="Times New Roman"/>
        <w:color w:val="808080" w:themeColor="background1" w:themeShade="80"/>
        <w:sz w:val="18"/>
        <w:szCs w:val="18"/>
      </w:rPr>
      <w:t xml:space="preserve"> </w:t>
    </w:r>
    <w:r>
      <w:rPr>
        <w:rFonts w:cs="Times New Roman"/>
        <w:color w:val="808080" w:themeColor="background1" w:themeShade="80"/>
        <w:sz w:val="18"/>
        <w:szCs w:val="18"/>
      </w:rPr>
      <w:t>|</w:t>
    </w:r>
    <w:r w:rsidRPr="00DB7B00">
      <w:rPr>
        <w:rFonts w:cs="Times New Roman"/>
        <w:color w:val="808080" w:themeColor="background1" w:themeShade="80"/>
        <w:sz w:val="18"/>
        <w:szCs w:val="18"/>
      </w:rPr>
      <w:t xml:space="preserve"> </w:t>
    </w:r>
    <w:r w:rsidRPr="00DB7B00">
      <w:rPr>
        <w:rFonts w:cs="Times New Roman"/>
        <w:color w:val="808080" w:themeColor="background1" w:themeShade="80"/>
        <w:sz w:val="18"/>
        <w:szCs w:val="18"/>
      </w:rPr>
      <w:fldChar w:fldCharType="begin"/>
    </w:r>
    <w:r w:rsidRPr="00DB7B00">
      <w:rPr>
        <w:rFonts w:cs="Times New Roman"/>
        <w:color w:val="808080" w:themeColor="background1" w:themeShade="80"/>
        <w:sz w:val="18"/>
        <w:szCs w:val="18"/>
      </w:rPr>
      <w:instrText xml:space="preserve"> NUMPAGES </w:instrText>
    </w:r>
    <w:r w:rsidRPr="00DB7B00">
      <w:rPr>
        <w:rFonts w:cs="Times New Roman"/>
        <w:color w:val="808080" w:themeColor="background1" w:themeShade="80"/>
        <w:sz w:val="18"/>
        <w:szCs w:val="18"/>
      </w:rPr>
      <w:fldChar w:fldCharType="separate"/>
    </w:r>
    <w:r w:rsidR="000B3892">
      <w:rPr>
        <w:rFonts w:cs="Times New Roman"/>
        <w:noProof/>
        <w:color w:val="808080" w:themeColor="background1" w:themeShade="80"/>
        <w:sz w:val="18"/>
        <w:szCs w:val="18"/>
      </w:rPr>
      <w:t>5</w:t>
    </w:r>
    <w:r w:rsidRPr="00DB7B00">
      <w:rPr>
        <w:rFonts w:cs="Times New Roman"/>
        <w:color w:val="808080" w:themeColor="background1" w:themeShade="80"/>
        <w:sz w:val="18"/>
        <w:szCs w:val="18"/>
      </w:rPr>
      <w:fldChar w:fldCharType="end"/>
    </w:r>
  </w:p>
  <w:p w14:paraId="5186B784" w14:textId="77777777" w:rsidR="00171AF0" w:rsidRPr="00324E0A" w:rsidRDefault="00171AF0" w:rsidP="00170CD4">
    <w:pPr>
      <w:pStyle w:val="Piedepgina"/>
      <w:tabs>
        <w:tab w:val="clear" w:pos="8504"/>
      </w:tabs>
      <w:spacing w:after="0" w:line="240" w:lineRule="auto"/>
      <w:ind w:left="-1701" w:right="-1004"/>
      <w:rPr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DC2FE0" w14:textId="77777777" w:rsidR="00171AF0" w:rsidRDefault="00171AF0" w:rsidP="00DA1912">
      <w:r>
        <w:separator/>
      </w:r>
    </w:p>
  </w:footnote>
  <w:footnote w:type="continuationSeparator" w:id="0">
    <w:p w14:paraId="7D8B5928" w14:textId="77777777" w:rsidR="00171AF0" w:rsidRDefault="00171AF0" w:rsidP="00DA191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0BE6E" w14:textId="77777777" w:rsidR="00171AF0" w:rsidRDefault="00171AF0" w:rsidP="00504C98">
    <w:pPr>
      <w:pBdr>
        <w:bottom w:val="single" w:sz="12" w:space="1" w:color="CC006A"/>
      </w:pBdr>
      <w:spacing w:after="0" w:line="240" w:lineRule="auto"/>
      <w:ind w:right="-573" w:hanging="567"/>
      <w:jc w:val="left"/>
    </w:pPr>
    <w:r>
      <w:rPr>
        <w:noProof/>
        <w:lang w:eastAsia="es-ES"/>
      </w:rPr>
      <w:drawing>
        <wp:inline distT="0" distB="0" distL="0" distR="0" wp14:anchorId="011C540C" wp14:editId="36D110F3">
          <wp:extent cx="1885732" cy="60979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_ASUFIN_LOGO_NUEVO_h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732" cy="609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b/>
        <w:noProof/>
        <w:lang w:eastAsia="es-ES"/>
      </w:rPr>
      <w:drawing>
        <wp:inline distT="0" distB="0" distL="0" distR="0" wp14:anchorId="0D8403C9" wp14:editId="1C91FC3B">
          <wp:extent cx="576000" cy="576000"/>
          <wp:effectExtent l="0" t="0" r="8255" b="825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enda_2020-203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3648F4" w14:textId="77777777" w:rsidR="00171AF0" w:rsidRPr="00E11B95" w:rsidRDefault="00171AF0" w:rsidP="00504C98">
    <w:pPr>
      <w:pBdr>
        <w:bottom w:val="single" w:sz="12" w:space="1" w:color="CC006A"/>
      </w:pBdr>
      <w:spacing w:after="0" w:line="240" w:lineRule="auto"/>
      <w:ind w:right="-573" w:hanging="567"/>
      <w:jc w:val="left"/>
      <w:rPr>
        <w:b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C7F85"/>
    <w:multiLevelType w:val="hybridMultilevel"/>
    <w:tmpl w:val="858A9AE6"/>
    <w:lvl w:ilvl="0" w:tplc="EFFC1510">
      <w:start w:val="1"/>
      <w:numFmt w:val="decimal"/>
      <w:lvlText w:val="%1."/>
      <w:lvlJc w:val="left"/>
      <w:pPr>
        <w:ind w:left="866" w:hanging="440"/>
      </w:pPr>
      <w:rPr>
        <w:rFonts w:hint="default"/>
        <w:color w:val="000000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892167A"/>
    <w:multiLevelType w:val="hybridMultilevel"/>
    <w:tmpl w:val="09A67704"/>
    <w:lvl w:ilvl="0" w:tplc="34EED722">
      <w:start w:val="1"/>
      <w:numFmt w:val="bullet"/>
      <w:pStyle w:val="Ttulo3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D53C6A"/>
    <w:multiLevelType w:val="hybridMultilevel"/>
    <w:tmpl w:val="D9F0768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AB550C"/>
    <w:multiLevelType w:val="hybridMultilevel"/>
    <w:tmpl w:val="E182E26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B95367"/>
    <w:multiLevelType w:val="hybridMultilevel"/>
    <w:tmpl w:val="D73CAD9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0F3E6E"/>
    <w:multiLevelType w:val="hybridMultilevel"/>
    <w:tmpl w:val="8D44D4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743E82"/>
    <w:multiLevelType w:val="hybridMultilevel"/>
    <w:tmpl w:val="C79418BE"/>
    <w:lvl w:ilvl="0" w:tplc="A8A07EE0">
      <w:numFmt w:val="bullet"/>
      <w:lvlText w:val="-"/>
      <w:lvlJc w:val="left"/>
      <w:pPr>
        <w:ind w:left="720" w:hanging="360"/>
      </w:pPr>
      <w:rPr>
        <w:rFonts w:ascii="Open Sans" w:eastAsiaTheme="minorHAnsi" w:hAnsi="Open Sans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C45"/>
    <w:rsid w:val="0000321C"/>
    <w:rsid w:val="00017DEE"/>
    <w:rsid w:val="00020F4B"/>
    <w:rsid w:val="00022709"/>
    <w:rsid w:val="00026182"/>
    <w:rsid w:val="00026B12"/>
    <w:rsid w:val="00031393"/>
    <w:rsid w:val="00040262"/>
    <w:rsid w:val="000418DF"/>
    <w:rsid w:val="000430D6"/>
    <w:rsid w:val="0004569B"/>
    <w:rsid w:val="00045B4D"/>
    <w:rsid w:val="00051438"/>
    <w:rsid w:val="000554DA"/>
    <w:rsid w:val="00064764"/>
    <w:rsid w:val="00067976"/>
    <w:rsid w:val="000729D9"/>
    <w:rsid w:val="00073248"/>
    <w:rsid w:val="00076053"/>
    <w:rsid w:val="00077C92"/>
    <w:rsid w:val="00087699"/>
    <w:rsid w:val="0009348A"/>
    <w:rsid w:val="000939E5"/>
    <w:rsid w:val="000962F3"/>
    <w:rsid w:val="00097871"/>
    <w:rsid w:val="000B3892"/>
    <w:rsid w:val="000C680D"/>
    <w:rsid w:val="000D1AC6"/>
    <w:rsid w:val="000F0515"/>
    <w:rsid w:val="000F137F"/>
    <w:rsid w:val="000F241B"/>
    <w:rsid w:val="000F3878"/>
    <w:rsid w:val="000F4044"/>
    <w:rsid w:val="000F7F65"/>
    <w:rsid w:val="00100AD4"/>
    <w:rsid w:val="00104E57"/>
    <w:rsid w:val="0010569D"/>
    <w:rsid w:val="00106DB3"/>
    <w:rsid w:val="00123024"/>
    <w:rsid w:val="0012449F"/>
    <w:rsid w:val="0012533F"/>
    <w:rsid w:val="00126E0C"/>
    <w:rsid w:val="00130C5D"/>
    <w:rsid w:val="001316E5"/>
    <w:rsid w:val="00133165"/>
    <w:rsid w:val="00141662"/>
    <w:rsid w:val="00141F84"/>
    <w:rsid w:val="001452EF"/>
    <w:rsid w:val="00152D92"/>
    <w:rsid w:val="00156F43"/>
    <w:rsid w:val="00157409"/>
    <w:rsid w:val="00157DE6"/>
    <w:rsid w:val="0016037E"/>
    <w:rsid w:val="001655EA"/>
    <w:rsid w:val="00170CD4"/>
    <w:rsid w:val="00171AF0"/>
    <w:rsid w:val="0017482D"/>
    <w:rsid w:val="00176727"/>
    <w:rsid w:val="00190858"/>
    <w:rsid w:val="00195AC4"/>
    <w:rsid w:val="001A3C9A"/>
    <w:rsid w:val="001A4359"/>
    <w:rsid w:val="001A7E60"/>
    <w:rsid w:val="001B1264"/>
    <w:rsid w:val="001B1919"/>
    <w:rsid w:val="001B1F57"/>
    <w:rsid w:val="001B257B"/>
    <w:rsid w:val="001B6BFD"/>
    <w:rsid w:val="001C389E"/>
    <w:rsid w:val="001C6374"/>
    <w:rsid w:val="001D6979"/>
    <w:rsid w:val="001E6498"/>
    <w:rsid w:val="001F7304"/>
    <w:rsid w:val="00203E19"/>
    <w:rsid w:val="00213555"/>
    <w:rsid w:val="00213C7A"/>
    <w:rsid w:val="00214C18"/>
    <w:rsid w:val="002160C9"/>
    <w:rsid w:val="00220A4E"/>
    <w:rsid w:val="00222AA3"/>
    <w:rsid w:val="00224497"/>
    <w:rsid w:val="00225940"/>
    <w:rsid w:val="00232955"/>
    <w:rsid w:val="002429EC"/>
    <w:rsid w:val="00251F18"/>
    <w:rsid w:val="002524E1"/>
    <w:rsid w:val="00252F98"/>
    <w:rsid w:val="00255040"/>
    <w:rsid w:val="0025772D"/>
    <w:rsid w:val="0026239E"/>
    <w:rsid w:val="002671BF"/>
    <w:rsid w:val="002702F6"/>
    <w:rsid w:val="002760B7"/>
    <w:rsid w:val="00277FBC"/>
    <w:rsid w:val="0028201F"/>
    <w:rsid w:val="00285FC2"/>
    <w:rsid w:val="00295DDE"/>
    <w:rsid w:val="002A25EE"/>
    <w:rsid w:val="002B3C25"/>
    <w:rsid w:val="002B45AA"/>
    <w:rsid w:val="002C0D69"/>
    <w:rsid w:val="002C202A"/>
    <w:rsid w:val="002C3FCA"/>
    <w:rsid w:val="002C5027"/>
    <w:rsid w:val="002C539E"/>
    <w:rsid w:val="002C703E"/>
    <w:rsid w:val="002C7D80"/>
    <w:rsid w:val="002D45C8"/>
    <w:rsid w:val="002E25BE"/>
    <w:rsid w:val="002E657A"/>
    <w:rsid w:val="002E7016"/>
    <w:rsid w:val="002F154C"/>
    <w:rsid w:val="002F68E1"/>
    <w:rsid w:val="00307520"/>
    <w:rsid w:val="00312F93"/>
    <w:rsid w:val="003237AF"/>
    <w:rsid w:val="00324E0A"/>
    <w:rsid w:val="0033107E"/>
    <w:rsid w:val="003314F9"/>
    <w:rsid w:val="0033361A"/>
    <w:rsid w:val="00346D0D"/>
    <w:rsid w:val="00355F9D"/>
    <w:rsid w:val="0035660E"/>
    <w:rsid w:val="00356AC7"/>
    <w:rsid w:val="0036251B"/>
    <w:rsid w:val="00363BCC"/>
    <w:rsid w:val="00363C00"/>
    <w:rsid w:val="00373E8C"/>
    <w:rsid w:val="0038578B"/>
    <w:rsid w:val="003A1DC0"/>
    <w:rsid w:val="003A26D8"/>
    <w:rsid w:val="003A2748"/>
    <w:rsid w:val="003A6B82"/>
    <w:rsid w:val="003B1CD7"/>
    <w:rsid w:val="003C626F"/>
    <w:rsid w:val="003D3ECB"/>
    <w:rsid w:val="003E46B8"/>
    <w:rsid w:val="003F6788"/>
    <w:rsid w:val="003F788B"/>
    <w:rsid w:val="004012F3"/>
    <w:rsid w:val="00401A70"/>
    <w:rsid w:val="00402568"/>
    <w:rsid w:val="004026E9"/>
    <w:rsid w:val="004030ED"/>
    <w:rsid w:val="00403390"/>
    <w:rsid w:val="00404335"/>
    <w:rsid w:val="00410316"/>
    <w:rsid w:val="00436E8C"/>
    <w:rsid w:val="004371CD"/>
    <w:rsid w:val="00447F42"/>
    <w:rsid w:val="004607EC"/>
    <w:rsid w:val="00461FC3"/>
    <w:rsid w:val="004668ED"/>
    <w:rsid w:val="00467B82"/>
    <w:rsid w:val="0047410D"/>
    <w:rsid w:val="00490DD2"/>
    <w:rsid w:val="004A6E82"/>
    <w:rsid w:val="004B04F1"/>
    <w:rsid w:val="004B6AAC"/>
    <w:rsid w:val="004C2D95"/>
    <w:rsid w:val="004D02D9"/>
    <w:rsid w:val="004D19BF"/>
    <w:rsid w:val="004D1ACD"/>
    <w:rsid w:val="004D4C12"/>
    <w:rsid w:val="004E2B49"/>
    <w:rsid w:val="004E3E5D"/>
    <w:rsid w:val="004E4B8D"/>
    <w:rsid w:val="004F02B3"/>
    <w:rsid w:val="004F08C9"/>
    <w:rsid w:val="00504C98"/>
    <w:rsid w:val="00507026"/>
    <w:rsid w:val="005106E5"/>
    <w:rsid w:val="00510C45"/>
    <w:rsid w:val="0051232D"/>
    <w:rsid w:val="00515063"/>
    <w:rsid w:val="005177D0"/>
    <w:rsid w:val="00524DDB"/>
    <w:rsid w:val="00531FCB"/>
    <w:rsid w:val="005351F2"/>
    <w:rsid w:val="00540A32"/>
    <w:rsid w:val="00540E08"/>
    <w:rsid w:val="00542124"/>
    <w:rsid w:val="00542138"/>
    <w:rsid w:val="00545EAB"/>
    <w:rsid w:val="00546A16"/>
    <w:rsid w:val="005524D9"/>
    <w:rsid w:val="00552941"/>
    <w:rsid w:val="0055708C"/>
    <w:rsid w:val="0056459D"/>
    <w:rsid w:val="00564931"/>
    <w:rsid w:val="00570E04"/>
    <w:rsid w:val="005957BB"/>
    <w:rsid w:val="005A63FD"/>
    <w:rsid w:val="005C6550"/>
    <w:rsid w:val="005E4983"/>
    <w:rsid w:val="005E746A"/>
    <w:rsid w:val="005E78C5"/>
    <w:rsid w:val="005F651B"/>
    <w:rsid w:val="00606E98"/>
    <w:rsid w:val="0061190E"/>
    <w:rsid w:val="006126D5"/>
    <w:rsid w:val="0062581D"/>
    <w:rsid w:val="00626901"/>
    <w:rsid w:val="0064690F"/>
    <w:rsid w:val="00653019"/>
    <w:rsid w:val="00654C25"/>
    <w:rsid w:val="00666377"/>
    <w:rsid w:val="006674CD"/>
    <w:rsid w:val="006942DE"/>
    <w:rsid w:val="0069539E"/>
    <w:rsid w:val="0069579F"/>
    <w:rsid w:val="006A18D0"/>
    <w:rsid w:val="006A21F6"/>
    <w:rsid w:val="006B4774"/>
    <w:rsid w:val="006B4EC3"/>
    <w:rsid w:val="006C2528"/>
    <w:rsid w:val="006C2865"/>
    <w:rsid w:val="006C69E1"/>
    <w:rsid w:val="006D2668"/>
    <w:rsid w:val="006D441E"/>
    <w:rsid w:val="006D5168"/>
    <w:rsid w:val="006D7CC0"/>
    <w:rsid w:val="006E5555"/>
    <w:rsid w:val="006E704D"/>
    <w:rsid w:val="00703041"/>
    <w:rsid w:val="00707659"/>
    <w:rsid w:val="007127E9"/>
    <w:rsid w:val="00712CB9"/>
    <w:rsid w:val="00737A56"/>
    <w:rsid w:val="00747586"/>
    <w:rsid w:val="0075301E"/>
    <w:rsid w:val="00754CCD"/>
    <w:rsid w:val="00756C4A"/>
    <w:rsid w:val="00760CC8"/>
    <w:rsid w:val="007660A3"/>
    <w:rsid w:val="007719BF"/>
    <w:rsid w:val="00782514"/>
    <w:rsid w:val="007856E0"/>
    <w:rsid w:val="00795E0D"/>
    <w:rsid w:val="007A0C06"/>
    <w:rsid w:val="007A4A87"/>
    <w:rsid w:val="007B77E2"/>
    <w:rsid w:val="007D5B03"/>
    <w:rsid w:val="007E4261"/>
    <w:rsid w:val="007F133F"/>
    <w:rsid w:val="007F29BD"/>
    <w:rsid w:val="007F380D"/>
    <w:rsid w:val="007F5439"/>
    <w:rsid w:val="008010B6"/>
    <w:rsid w:val="0080521E"/>
    <w:rsid w:val="0081026F"/>
    <w:rsid w:val="00814FE2"/>
    <w:rsid w:val="0081731A"/>
    <w:rsid w:val="00825954"/>
    <w:rsid w:val="00826DF6"/>
    <w:rsid w:val="008271AA"/>
    <w:rsid w:val="00832A2F"/>
    <w:rsid w:val="00833CF4"/>
    <w:rsid w:val="00834C7E"/>
    <w:rsid w:val="00837D6B"/>
    <w:rsid w:val="0084187A"/>
    <w:rsid w:val="008431C0"/>
    <w:rsid w:val="00846A3B"/>
    <w:rsid w:val="00860253"/>
    <w:rsid w:val="0086243B"/>
    <w:rsid w:val="008737B7"/>
    <w:rsid w:val="00890137"/>
    <w:rsid w:val="008903BC"/>
    <w:rsid w:val="0089258D"/>
    <w:rsid w:val="008A3874"/>
    <w:rsid w:val="008A5411"/>
    <w:rsid w:val="008B586A"/>
    <w:rsid w:val="008B69DE"/>
    <w:rsid w:val="008C1755"/>
    <w:rsid w:val="008C1F4D"/>
    <w:rsid w:val="008C3F36"/>
    <w:rsid w:val="008C68E7"/>
    <w:rsid w:val="008D2511"/>
    <w:rsid w:val="008D38ED"/>
    <w:rsid w:val="008E0537"/>
    <w:rsid w:val="008E5A0C"/>
    <w:rsid w:val="008F31F4"/>
    <w:rsid w:val="00902D8E"/>
    <w:rsid w:val="00917110"/>
    <w:rsid w:val="00917342"/>
    <w:rsid w:val="00931056"/>
    <w:rsid w:val="0093372D"/>
    <w:rsid w:val="0093569F"/>
    <w:rsid w:val="00945FA1"/>
    <w:rsid w:val="00955084"/>
    <w:rsid w:val="0096287D"/>
    <w:rsid w:val="00962FD7"/>
    <w:rsid w:val="00963C16"/>
    <w:rsid w:val="00970966"/>
    <w:rsid w:val="00991F0B"/>
    <w:rsid w:val="00992FA6"/>
    <w:rsid w:val="009943BB"/>
    <w:rsid w:val="0099500E"/>
    <w:rsid w:val="009B740D"/>
    <w:rsid w:val="009C1485"/>
    <w:rsid w:val="009C5FDB"/>
    <w:rsid w:val="009C6289"/>
    <w:rsid w:val="009D2E57"/>
    <w:rsid w:val="009D372A"/>
    <w:rsid w:val="009E088D"/>
    <w:rsid w:val="009E0895"/>
    <w:rsid w:val="009F0719"/>
    <w:rsid w:val="009F2434"/>
    <w:rsid w:val="00A126B4"/>
    <w:rsid w:val="00A1342A"/>
    <w:rsid w:val="00A27731"/>
    <w:rsid w:val="00A40EEC"/>
    <w:rsid w:val="00A41C96"/>
    <w:rsid w:val="00A47618"/>
    <w:rsid w:val="00A62244"/>
    <w:rsid w:val="00A65106"/>
    <w:rsid w:val="00A721B4"/>
    <w:rsid w:val="00A72D79"/>
    <w:rsid w:val="00A734A0"/>
    <w:rsid w:val="00A739E4"/>
    <w:rsid w:val="00A73C1C"/>
    <w:rsid w:val="00A758A0"/>
    <w:rsid w:val="00A76070"/>
    <w:rsid w:val="00A8324D"/>
    <w:rsid w:val="00A86049"/>
    <w:rsid w:val="00A92F2A"/>
    <w:rsid w:val="00A93CBE"/>
    <w:rsid w:val="00A9568B"/>
    <w:rsid w:val="00AA192F"/>
    <w:rsid w:val="00AA6CF1"/>
    <w:rsid w:val="00AA7A07"/>
    <w:rsid w:val="00AB6AF4"/>
    <w:rsid w:val="00AC1B01"/>
    <w:rsid w:val="00AD3C4F"/>
    <w:rsid w:val="00AF166B"/>
    <w:rsid w:val="00AF3A04"/>
    <w:rsid w:val="00B06112"/>
    <w:rsid w:val="00B21DB2"/>
    <w:rsid w:val="00B258AC"/>
    <w:rsid w:val="00B25B59"/>
    <w:rsid w:val="00B37BF5"/>
    <w:rsid w:val="00B400F6"/>
    <w:rsid w:val="00B44C0E"/>
    <w:rsid w:val="00B51E73"/>
    <w:rsid w:val="00B67B13"/>
    <w:rsid w:val="00B70FA4"/>
    <w:rsid w:val="00B714DF"/>
    <w:rsid w:val="00B74F07"/>
    <w:rsid w:val="00B751DD"/>
    <w:rsid w:val="00B80FCC"/>
    <w:rsid w:val="00B8192B"/>
    <w:rsid w:val="00B91785"/>
    <w:rsid w:val="00B93001"/>
    <w:rsid w:val="00BA2946"/>
    <w:rsid w:val="00BA59B1"/>
    <w:rsid w:val="00BB0106"/>
    <w:rsid w:val="00BB0923"/>
    <w:rsid w:val="00BB5659"/>
    <w:rsid w:val="00BC05D4"/>
    <w:rsid w:val="00BC1D82"/>
    <w:rsid w:val="00BC4406"/>
    <w:rsid w:val="00BD72D8"/>
    <w:rsid w:val="00BE18EA"/>
    <w:rsid w:val="00BE5D9D"/>
    <w:rsid w:val="00BE759A"/>
    <w:rsid w:val="00BF4089"/>
    <w:rsid w:val="00BF4CB3"/>
    <w:rsid w:val="00BF4D14"/>
    <w:rsid w:val="00C01D94"/>
    <w:rsid w:val="00C02038"/>
    <w:rsid w:val="00C038E2"/>
    <w:rsid w:val="00C114D8"/>
    <w:rsid w:val="00C11FA3"/>
    <w:rsid w:val="00C1292E"/>
    <w:rsid w:val="00C16E12"/>
    <w:rsid w:val="00C21515"/>
    <w:rsid w:val="00C2474C"/>
    <w:rsid w:val="00C32D9F"/>
    <w:rsid w:val="00C37EDD"/>
    <w:rsid w:val="00C62FE3"/>
    <w:rsid w:val="00C70BC0"/>
    <w:rsid w:val="00C71487"/>
    <w:rsid w:val="00C73A5E"/>
    <w:rsid w:val="00C77C47"/>
    <w:rsid w:val="00C8435F"/>
    <w:rsid w:val="00C86D44"/>
    <w:rsid w:val="00CA641E"/>
    <w:rsid w:val="00CA655F"/>
    <w:rsid w:val="00CB5A5C"/>
    <w:rsid w:val="00CD1282"/>
    <w:rsid w:val="00CD68D5"/>
    <w:rsid w:val="00CD6E68"/>
    <w:rsid w:val="00CE4D44"/>
    <w:rsid w:val="00CF2917"/>
    <w:rsid w:val="00D00BC9"/>
    <w:rsid w:val="00D02863"/>
    <w:rsid w:val="00D12172"/>
    <w:rsid w:val="00D20E74"/>
    <w:rsid w:val="00D22DCD"/>
    <w:rsid w:val="00D23802"/>
    <w:rsid w:val="00D24398"/>
    <w:rsid w:val="00D256A7"/>
    <w:rsid w:val="00D334D1"/>
    <w:rsid w:val="00D43394"/>
    <w:rsid w:val="00D43B51"/>
    <w:rsid w:val="00D6032E"/>
    <w:rsid w:val="00D62D83"/>
    <w:rsid w:val="00D65F1A"/>
    <w:rsid w:val="00D807CF"/>
    <w:rsid w:val="00D849A9"/>
    <w:rsid w:val="00D91998"/>
    <w:rsid w:val="00D971F7"/>
    <w:rsid w:val="00DA0C4E"/>
    <w:rsid w:val="00DA1912"/>
    <w:rsid w:val="00DA5136"/>
    <w:rsid w:val="00DA65B9"/>
    <w:rsid w:val="00DC4E45"/>
    <w:rsid w:val="00DD348C"/>
    <w:rsid w:val="00DE3F7F"/>
    <w:rsid w:val="00DE64D1"/>
    <w:rsid w:val="00DF02FB"/>
    <w:rsid w:val="00DF47F9"/>
    <w:rsid w:val="00DF62B9"/>
    <w:rsid w:val="00E00AC3"/>
    <w:rsid w:val="00E062AA"/>
    <w:rsid w:val="00E11B95"/>
    <w:rsid w:val="00E179A0"/>
    <w:rsid w:val="00E17BB1"/>
    <w:rsid w:val="00E22440"/>
    <w:rsid w:val="00E31A91"/>
    <w:rsid w:val="00E35692"/>
    <w:rsid w:val="00E35FC2"/>
    <w:rsid w:val="00E3691A"/>
    <w:rsid w:val="00E36E16"/>
    <w:rsid w:val="00E54141"/>
    <w:rsid w:val="00E555A2"/>
    <w:rsid w:val="00E61C84"/>
    <w:rsid w:val="00E82FFA"/>
    <w:rsid w:val="00E84DAC"/>
    <w:rsid w:val="00E86D73"/>
    <w:rsid w:val="00E959FD"/>
    <w:rsid w:val="00E96730"/>
    <w:rsid w:val="00EB6C8B"/>
    <w:rsid w:val="00EC0B9B"/>
    <w:rsid w:val="00EC71C3"/>
    <w:rsid w:val="00EC7E19"/>
    <w:rsid w:val="00ED72C5"/>
    <w:rsid w:val="00EE0080"/>
    <w:rsid w:val="00EE5967"/>
    <w:rsid w:val="00EF4AE6"/>
    <w:rsid w:val="00F021F0"/>
    <w:rsid w:val="00F04BAE"/>
    <w:rsid w:val="00F05453"/>
    <w:rsid w:val="00F133D9"/>
    <w:rsid w:val="00F17D00"/>
    <w:rsid w:val="00F244A8"/>
    <w:rsid w:val="00F30C62"/>
    <w:rsid w:val="00F31BD1"/>
    <w:rsid w:val="00F3251F"/>
    <w:rsid w:val="00F36D04"/>
    <w:rsid w:val="00F41A31"/>
    <w:rsid w:val="00F47F3A"/>
    <w:rsid w:val="00F532F2"/>
    <w:rsid w:val="00F54FA2"/>
    <w:rsid w:val="00F60AE1"/>
    <w:rsid w:val="00F624F9"/>
    <w:rsid w:val="00F63222"/>
    <w:rsid w:val="00F651A0"/>
    <w:rsid w:val="00F668C8"/>
    <w:rsid w:val="00F702E9"/>
    <w:rsid w:val="00F828BC"/>
    <w:rsid w:val="00F85595"/>
    <w:rsid w:val="00F8776B"/>
    <w:rsid w:val="00F902CF"/>
    <w:rsid w:val="00F90B52"/>
    <w:rsid w:val="00FA3FF4"/>
    <w:rsid w:val="00FA59D3"/>
    <w:rsid w:val="00FA7FC0"/>
    <w:rsid w:val="00FB32FE"/>
    <w:rsid w:val="00FB6ED5"/>
    <w:rsid w:val="00FC0414"/>
    <w:rsid w:val="00FC7F0A"/>
    <w:rsid w:val="00FD4917"/>
    <w:rsid w:val="00FD7A84"/>
    <w:rsid w:val="00FF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3A555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BFD"/>
    <w:pPr>
      <w:spacing w:after="160" w:line="259" w:lineRule="auto"/>
      <w:jc w:val="both"/>
    </w:pPr>
    <w:rPr>
      <w:rFonts w:ascii="Open Sans" w:eastAsiaTheme="minorHAnsi" w:hAnsi="Open Sans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autoRedefine/>
    <w:qFormat/>
    <w:rsid w:val="003314F9"/>
    <w:pPr>
      <w:keepNext/>
      <w:suppressAutoHyphens/>
      <w:spacing w:line="240" w:lineRule="auto"/>
      <w:jc w:val="center"/>
      <w:outlineLvl w:val="0"/>
    </w:pPr>
    <w:rPr>
      <w:rFonts w:ascii="Montserrat" w:eastAsia="Times New Roman" w:hAnsi="Montserrat" w:cs="Arial"/>
      <w:b/>
      <w:bCs/>
      <w:sz w:val="28"/>
      <w:lang w:eastAsia="ar-SA"/>
    </w:rPr>
  </w:style>
  <w:style w:type="paragraph" w:styleId="Ttulo2">
    <w:name w:val="heading 2"/>
    <w:basedOn w:val="Ttulo1"/>
    <w:next w:val="Normal"/>
    <w:link w:val="Ttulo2Car"/>
    <w:autoRedefine/>
    <w:uiPriority w:val="9"/>
    <w:unhideWhenUsed/>
    <w:qFormat/>
    <w:rsid w:val="006674CD"/>
    <w:pPr>
      <w:keepLines/>
      <w:spacing w:before="200"/>
      <w:outlineLvl w:val="1"/>
    </w:pPr>
    <w:rPr>
      <w:rFonts w:eastAsiaTheme="majorEastAsia" w:cstheme="majorBidi"/>
      <w:b w:val="0"/>
      <w:bCs w:val="0"/>
      <w:color w:val="595959" w:themeColor="text1" w:themeTint="A6"/>
      <w:sz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D5168"/>
    <w:pPr>
      <w:keepNext/>
      <w:keepLines/>
      <w:numPr>
        <w:numId w:val="1"/>
      </w:numPr>
      <w:spacing w:before="200" w:line="360" w:lineRule="auto"/>
      <w:outlineLvl w:val="2"/>
    </w:pPr>
    <w:rPr>
      <w:rFonts w:ascii="Montserrat" w:eastAsia="Malgun Gothic Semilight" w:hAnsi="Montserrat" w:cs="Malgun Gothic Semilight"/>
      <w:b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3314F9"/>
    <w:rPr>
      <w:rFonts w:ascii="Montserrat" w:eastAsia="Times New Roman" w:hAnsi="Montserrat" w:cs="Arial"/>
      <w:b/>
      <w:bCs/>
      <w:sz w:val="28"/>
      <w:szCs w:val="22"/>
      <w:lang w:val="es-ES" w:eastAsia="ar-SA"/>
    </w:rPr>
  </w:style>
  <w:style w:type="paragraph" w:styleId="Encabezado">
    <w:name w:val="header"/>
    <w:basedOn w:val="Normal"/>
    <w:link w:val="EncabezadoCar"/>
    <w:uiPriority w:val="99"/>
    <w:unhideWhenUsed/>
    <w:rsid w:val="00DA191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912"/>
  </w:style>
  <w:style w:type="paragraph" w:styleId="Piedepgina">
    <w:name w:val="footer"/>
    <w:basedOn w:val="Normal"/>
    <w:link w:val="PiedepginaCar"/>
    <w:uiPriority w:val="99"/>
    <w:unhideWhenUsed/>
    <w:rsid w:val="00DA191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912"/>
  </w:style>
  <w:style w:type="paragraph" w:styleId="Textodeglobo">
    <w:name w:val="Balloon Text"/>
    <w:basedOn w:val="Normal"/>
    <w:link w:val="TextodegloboCar"/>
    <w:uiPriority w:val="99"/>
    <w:semiHidden/>
    <w:unhideWhenUsed/>
    <w:rsid w:val="00DA191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912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DA191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04BAE"/>
    <w:pPr>
      <w:ind w:left="720"/>
      <w:contextualSpacing/>
    </w:pPr>
  </w:style>
  <w:style w:type="character" w:customStyle="1" w:styleId="estilo111">
    <w:name w:val="estilo111"/>
    <w:rsid w:val="00756C4A"/>
    <w:rPr>
      <w:color w:val="333333"/>
    </w:rPr>
  </w:style>
  <w:style w:type="paragraph" w:styleId="NormalWeb">
    <w:name w:val="Normal (Web)"/>
    <w:basedOn w:val="Normal"/>
    <w:uiPriority w:val="99"/>
    <w:unhideWhenUsed/>
    <w:rsid w:val="00F828B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Default">
    <w:name w:val="Default"/>
    <w:rsid w:val="00570E0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s-ES"/>
    </w:rPr>
  </w:style>
  <w:style w:type="table" w:styleId="Tablaconcuadrcula">
    <w:name w:val="Table Grid"/>
    <w:basedOn w:val="Tablanormal"/>
    <w:uiPriority w:val="59"/>
    <w:rsid w:val="00B21D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lanormal"/>
    <w:uiPriority w:val="61"/>
    <w:rsid w:val="00B70FA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FA7FC0"/>
    <w:rPr>
      <w:rFonts w:ascii="Times New Roman" w:hAnsi="Times New Roman"/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A7FC0"/>
    <w:rPr>
      <w:rFonts w:ascii="Times New Roman" w:hAnsi="Times New Roman"/>
      <w:sz w:val="20"/>
    </w:rPr>
  </w:style>
  <w:style w:type="character" w:styleId="Refdenotaalpie">
    <w:name w:val="footnote reference"/>
    <w:basedOn w:val="Fuentedeprrafopredeter"/>
    <w:uiPriority w:val="99"/>
    <w:unhideWhenUsed/>
    <w:rsid w:val="00FA7FC0"/>
    <w:rPr>
      <w:vertAlign w:val="superscript"/>
    </w:rPr>
  </w:style>
  <w:style w:type="paragraph" w:styleId="Encabezadodetabladecontenido">
    <w:name w:val="TOC Heading"/>
    <w:basedOn w:val="Ttulo1"/>
    <w:next w:val="Normal"/>
    <w:uiPriority w:val="39"/>
    <w:unhideWhenUsed/>
    <w:qFormat/>
    <w:rsid w:val="00834C7E"/>
    <w:pPr>
      <w:keepLines/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val="es-ES_tradnl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834C7E"/>
    <w:pPr>
      <w:spacing w:before="120"/>
    </w:pPr>
    <w:rPr>
      <w:rFonts w:asciiTheme="minorHAnsi" w:hAnsiTheme="minorHAnsi"/>
      <w:b/>
    </w:rPr>
  </w:style>
  <w:style w:type="paragraph" w:styleId="TDC2">
    <w:name w:val="toc 2"/>
    <w:basedOn w:val="Normal"/>
    <w:next w:val="Normal"/>
    <w:autoRedefine/>
    <w:uiPriority w:val="39"/>
    <w:unhideWhenUsed/>
    <w:rsid w:val="00834C7E"/>
    <w:pPr>
      <w:ind w:left="240"/>
    </w:pPr>
    <w:rPr>
      <w:rFonts w:asciiTheme="minorHAnsi" w:hAnsiTheme="minorHAnsi"/>
      <w:b/>
    </w:rPr>
  </w:style>
  <w:style w:type="paragraph" w:styleId="TDC3">
    <w:name w:val="toc 3"/>
    <w:basedOn w:val="Normal"/>
    <w:next w:val="Normal"/>
    <w:autoRedefine/>
    <w:uiPriority w:val="39"/>
    <w:unhideWhenUsed/>
    <w:rsid w:val="00B714DF"/>
    <w:pPr>
      <w:tabs>
        <w:tab w:val="left" w:pos="940"/>
        <w:tab w:val="right" w:leader="dot" w:pos="7353"/>
      </w:tabs>
      <w:ind w:left="480"/>
    </w:pPr>
    <w:rPr>
      <w:noProof/>
      <w:sz w:val="20"/>
      <w:szCs w:val="20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834C7E"/>
    <w:pPr>
      <w:ind w:left="72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834C7E"/>
    <w:pPr>
      <w:ind w:left="96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834C7E"/>
    <w:pPr>
      <w:ind w:left="120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834C7E"/>
    <w:pPr>
      <w:ind w:left="144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834C7E"/>
    <w:pPr>
      <w:ind w:left="168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834C7E"/>
    <w:pPr>
      <w:ind w:left="1920"/>
    </w:pPr>
    <w:rPr>
      <w:rFonts w:asciiTheme="minorHAnsi" w:hAnsiTheme="minorHAnsi"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6674CD"/>
    <w:rPr>
      <w:rFonts w:ascii="Montserrat" w:eastAsiaTheme="majorEastAsia" w:hAnsi="Montserrat" w:cstheme="majorBidi"/>
      <w:color w:val="595959" w:themeColor="text1" w:themeTint="A6"/>
      <w:lang w:val="es-ES"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6D5168"/>
    <w:rPr>
      <w:rFonts w:ascii="Montserrat" w:eastAsia="Malgun Gothic Semilight" w:hAnsi="Montserrat" w:cs="Malgun Gothic Semilight"/>
      <w:b/>
      <w:color w:val="595959" w:themeColor="text1" w:themeTint="A6"/>
      <w:sz w:val="22"/>
      <w:szCs w:val="22"/>
      <w:lang w:val="es-ES" w:eastAsia="en-US"/>
    </w:rPr>
  </w:style>
  <w:style w:type="character" w:customStyle="1" w:styleId="bloquetexto">
    <w:name w:val="bloquetexto"/>
    <w:basedOn w:val="Fuentedeprrafopredeter"/>
    <w:rsid w:val="001B6BFD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8324D"/>
    <w:rPr>
      <w:color w:val="808080"/>
      <w:shd w:val="clear" w:color="auto" w:fill="E6E6E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85FC2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08769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BFD"/>
    <w:pPr>
      <w:spacing w:after="160" w:line="259" w:lineRule="auto"/>
      <w:jc w:val="both"/>
    </w:pPr>
    <w:rPr>
      <w:rFonts w:ascii="Open Sans" w:eastAsiaTheme="minorHAnsi" w:hAnsi="Open Sans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autoRedefine/>
    <w:qFormat/>
    <w:rsid w:val="003314F9"/>
    <w:pPr>
      <w:keepNext/>
      <w:suppressAutoHyphens/>
      <w:spacing w:line="240" w:lineRule="auto"/>
      <w:jc w:val="center"/>
      <w:outlineLvl w:val="0"/>
    </w:pPr>
    <w:rPr>
      <w:rFonts w:ascii="Montserrat" w:eastAsia="Times New Roman" w:hAnsi="Montserrat" w:cs="Arial"/>
      <w:b/>
      <w:bCs/>
      <w:sz w:val="28"/>
      <w:lang w:eastAsia="ar-SA"/>
    </w:rPr>
  </w:style>
  <w:style w:type="paragraph" w:styleId="Ttulo2">
    <w:name w:val="heading 2"/>
    <w:basedOn w:val="Ttulo1"/>
    <w:next w:val="Normal"/>
    <w:link w:val="Ttulo2Car"/>
    <w:autoRedefine/>
    <w:uiPriority w:val="9"/>
    <w:unhideWhenUsed/>
    <w:qFormat/>
    <w:rsid w:val="006674CD"/>
    <w:pPr>
      <w:keepLines/>
      <w:spacing w:before="200"/>
      <w:outlineLvl w:val="1"/>
    </w:pPr>
    <w:rPr>
      <w:rFonts w:eastAsiaTheme="majorEastAsia" w:cstheme="majorBidi"/>
      <w:b w:val="0"/>
      <w:bCs w:val="0"/>
      <w:color w:val="595959" w:themeColor="text1" w:themeTint="A6"/>
      <w:sz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D5168"/>
    <w:pPr>
      <w:keepNext/>
      <w:keepLines/>
      <w:numPr>
        <w:numId w:val="1"/>
      </w:numPr>
      <w:spacing w:before="200" w:line="360" w:lineRule="auto"/>
      <w:outlineLvl w:val="2"/>
    </w:pPr>
    <w:rPr>
      <w:rFonts w:ascii="Montserrat" w:eastAsia="Malgun Gothic Semilight" w:hAnsi="Montserrat" w:cs="Malgun Gothic Semilight"/>
      <w:b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3314F9"/>
    <w:rPr>
      <w:rFonts w:ascii="Montserrat" w:eastAsia="Times New Roman" w:hAnsi="Montserrat" w:cs="Arial"/>
      <w:b/>
      <w:bCs/>
      <w:sz w:val="28"/>
      <w:szCs w:val="22"/>
      <w:lang w:val="es-ES" w:eastAsia="ar-SA"/>
    </w:rPr>
  </w:style>
  <w:style w:type="paragraph" w:styleId="Encabezado">
    <w:name w:val="header"/>
    <w:basedOn w:val="Normal"/>
    <w:link w:val="EncabezadoCar"/>
    <w:uiPriority w:val="99"/>
    <w:unhideWhenUsed/>
    <w:rsid w:val="00DA191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912"/>
  </w:style>
  <w:style w:type="paragraph" w:styleId="Piedepgina">
    <w:name w:val="footer"/>
    <w:basedOn w:val="Normal"/>
    <w:link w:val="PiedepginaCar"/>
    <w:uiPriority w:val="99"/>
    <w:unhideWhenUsed/>
    <w:rsid w:val="00DA191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912"/>
  </w:style>
  <w:style w:type="paragraph" w:styleId="Textodeglobo">
    <w:name w:val="Balloon Text"/>
    <w:basedOn w:val="Normal"/>
    <w:link w:val="TextodegloboCar"/>
    <w:uiPriority w:val="99"/>
    <w:semiHidden/>
    <w:unhideWhenUsed/>
    <w:rsid w:val="00DA191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912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DA191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04BAE"/>
    <w:pPr>
      <w:ind w:left="720"/>
      <w:contextualSpacing/>
    </w:pPr>
  </w:style>
  <w:style w:type="character" w:customStyle="1" w:styleId="estilo111">
    <w:name w:val="estilo111"/>
    <w:rsid w:val="00756C4A"/>
    <w:rPr>
      <w:color w:val="333333"/>
    </w:rPr>
  </w:style>
  <w:style w:type="paragraph" w:styleId="NormalWeb">
    <w:name w:val="Normal (Web)"/>
    <w:basedOn w:val="Normal"/>
    <w:uiPriority w:val="99"/>
    <w:unhideWhenUsed/>
    <w:rsid w:val="00F828B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Default">
    <w:name w:val="Default"/>
    <w:rsid w:val="00570E0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s-ES"/>
    </w:rPr>
  </w:style>
  <w:style w:type="table" w:styleId="Tablaconcuadrcula">
    <w:name w:val="Table Grid"/>
    <w:basedOn w:val="Tablanormal"/>
    <w:uiPriority w:val="59"/>
    <w:rsid w:val="00B21D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lanormal"/>
    <w:uiPriority w:val="61"/>
    <w:rsid w:val="00B70FA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FA7FC0"/>
    <w:rPr>
      <w:rFonts w:ascii="Times New Roman" w:hAnsi="Times New Roman"/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A7FC0"/>
    <w:rPr>
      <w:rFonts w:ascii="Times New Roman" w:hAnsi="Times New Roman"/>
      <w:sz w:val="20"/>
    </w:rPr>
  </w:style>
  <w:style w:type="character" w:styleId="Refdenotaalpie">
    <w:name w:val="footnote reference"/>
    <w:basedOn w:val="Fuentedeprrafopredeter"/>
    <w:uiPriority w:val="99"/>
    <w:unhideWhenUsed/>
    <w:rsid w:val="00FA7FC0"/>
    <w:rPr>
      <w:vertAlign w:val="superscript"/>
    </w:rPr>
  </w:style>
  <w:style w:type="paragraph" w:styleId="Encabezadodetabladecontenido">
    <w:name w:val="TOC Heading"/>
    <w:basedOn w:val="Ttulo1"/>
    <w:next w:val="Normal"/>
    <w:uiPriority w:val="39"/>
    <w:unhideWhenUsed/>
    <w:qFormat/>
    <w:rsid w:val="00834C7E"/>
    <w:pPr>
      <w:keepLines/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val="es-ES_tradnl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834C7E"/>
    <w:pPr>
      <w:spacing w:before="120"/>
    </w:pPr>
    <w:rPr>
      <w:rFonts w:asciiTheme="minorHAnsi" w:hAnsiTheme="minorHAnsi"/>
      <w:b/>
    </w:rPr>
  </w:style>
  <w:style w:type="paragraph" w:styleId="TDC2">
    <w:name w:val="toc 2"/>
    <w:basedOn w:val="Normal"/>
    <w:next w:val="Normal"/>
    <w:autoRedefine/>
    <w:uiPriority w:val="39"/>
    <w:unhideWhenUsed/>
    <w:rsid w:val="00834C7E"/>
    <w:pPr>
      <w:ind w:left="240"/>
    </w:pPr>
    <w:rPr>
      <w:rFonts w:asciiTheme="minorHAnsi" w:hAnsiTheme="minorHAnsi"/>
      <w:b/>
    </w:rPr>
  </w:style>
  <w:style w:type="paragraph" w:styleId="TDC3">
    <w:name w:val="toc 3"/>
    <w:basedOn w:val="Normal"/>
    <w:next w:val="Normal"/>
    <w:autoRedefine/>
    <w:uiPriority w:val="39"/>
    <w:unhideWhenUsed/>
    <w:rsid w:val="00B714DF"/>
    <w:pPr>
      <w:tabs>
        <w:tab w:val="left" w:pos="940"/>
        <w:tab w:val="right" w:leader="dot" w:pos="7353"/>
      </w:tabs>
      <w:ind w:left="480"/>
    </w:pPr>
    <w:rPr>
      <w:noProof/>
      <w:sz w:val="20"/>
      <w:szCs w:val="20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834C7E"/>
    <w:pPr>
      <w:ind w:left="72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834C7E"/>
    <w:pPr>
      <w:ind w:left="96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834C7E"/>
    <w:pPr>
      <w:ind w:left="120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834C7E"/>
    <w:pPr>
      <w:ind w:left="144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834C7E"/>
    <w:pPr>
      <w:ind w:left="168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834C7E"/>
    <w:pPr>
      <w:ind w:left="1920"/>
    </w:pPr>
    <w:rPr>
      <w:rFonts w:asciiTheme="minorHAnsi" w:hAnsiTheme="minorHAnsi"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6674CD"/>
    <w:rPr>
      <w:rFonts w:ascii="Montserrat" w:eastAsiaTheme="majorEastAsia" w:hAnsi="Montserrat" w:cstheme="majorBidi"/>
      <w:color w:val="595959" w:themeColor="text1" w:themeTint="A6"/>
      <w:lang w:val="es-ES"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6D5168"/>
    <w:rPr>
      <w:rFonts w:ascii="Montserrat" w:eastAsia="Malgun Gothic Semilight" w:hAnsi="Montserrat" w:cs="Malgun Gothic Semilight"/>
      <w:b/>
      <w:color w:val="595959" w:themeColor="text1" w:themeTint="A6"/>
      <w:sz w:val="22"/>
      <w:szCs w:val="22"/>
      <w:lang w:val="es-ES" w:eastAsia="en-US"/>
    </w:rPr>
  </w:style>
  <w:style w:type="character" w:customStyle="1" w:styleId="bloquetexto">
    <w:name w:val="bloquetexto"/>
    <w:basedOn w:val="Fuentedeprrafopredeter"/>
    <w:rsid w:val="001B6BFD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8324D"/>
    <w:rPr>
      <w:color w:val="808080"/>
      <w:shd w:val="clear" w:color="auto" w:fill="E6E6E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85FC2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0876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7402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9972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7566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%20-%20OK:Users:GZSZ:Library:Application%20Support:Microsoft:Office:Plantillas%20personales:Mis%20plantillas:2020_plantilla_asufi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EB80D0-057C-3840-9A7E-4D7603BD1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2020_plantilla_asufin.dotx</Template>
  <TotalTime>0</TotalTime>
  <Pages>5</Pages>
  <Words>492</Words>
  <Characters>2712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GZSZ</Company>
  <LinksUpToDate>false</LinksUpToDate>
  <CharactersWithSpaces>3198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SUAREZ RAMIREZ</dc:creator>
  <cp:keywords/>
  <dc:description/>
  <cp:lastModifiedBy>PATRICIA SUAREZ RAMIREZ</cp:lastModifiedBy>
  <cp:revision>3</cp:revision>
  <cp:lastPrinted>2020-10-21T14:14:00Z</cp:lastPrinted>
  <dcterms:created xsi:type="dcterms:W3CDTF">2020-10-21T14:14:00Z</dcterms:created>
  <dcterms:modified xsi:type="dcterms:W3CDTF">2020-10-21T14:14:00Z</dcterms:modified>
</cp:coreProperties>
</file>